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33" w:rsidRPr="008E1B33" w:rsidRDefault="008E1B33" w:rsidP="00CE0B9D">
      <w:pPr>
        <w:tabs>
          <w:tab w:val="left" w:pos="89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B33">
        <w:rPr>
          <w:rFonts w:ascii="Times New Roman" w:hAnsi="Times New Roman" w:cs="Times New Roman"/>
          <w:b/>
          <w:sz w:val="28"/>
          <w:szCs w:val="28"/>
        </w:rPr>
        <w:t>Пояснение к докладу по показателям эффективности деятельности органов местного самоуправления Варненского муниципального района за 20</w:t>
      </w:r>
      <w:r w:rsidR="00F02C03">
        <w:rPr>
          <w:rFonts w:ascii="Times New Roman" w:hAnsi="Times New Roman" w:cs="Times New Roman"/>
          <w:b/>
          <w:sz w:val="28"/>
          <w:szCs w:val="28"/>
        </w:rPr>
        <w:t>2</w:t>
      </w:r>
      <w:r w:rsidR="00501561">
        <w:rPr>
          <w:rFonts w:ascii="Times New Roman" w:hAnsi="Times New Roman" w:cs="Times New Roman"/>
          <w:b/>
          <w:sz w:val="28"/>
          <w:szCs w:val="28"/>
        </w:rPr>
        <w:t>1</w:t>
      </w:r>
      <w:r w:rsidR="00F02C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3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7A469A" w:rsidRPr="00B529AD" w:rsidRDefault="00F3617B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529AD">
        <w:rPr>
          <w:rFonts w:ascii="Times New Roman" w:hAnsi="Times New Roman" w:cs="Times New Roman"/>
          <w:sz w:val="26"/>
          <w:szCs w:val="26"/>
        </w:rPr>
        <w:t>Варненский</w:t>
      </w:r>
      <w:proofErr w:type="spellEnd"/>
      <w:r w:rsidRPr="00B529AD">
        <w:rPr>
          <w:rFonts w:ascii="Times New Roman" w:hAnsi="Times New Roman" w:cs="Times New Roman"/>
          <w:sz w:val="26"/>
          <w:szCs w:val="26"/>
        </w:rPr>
        <w:t xml:space="preserve"> муниципальный район находится в юго-восточной части  Челябинской области, те</w:t>
      </w:r>
      <w:r w:rsidR="00350038" w:rsidRPr="00B529AD">
        <w:rPr>
          <w:rFonts w:ascii="Times New Roman" w:hAnsi="Times New Roman" w:cs="Times New Roman"/>
          <w:sz w:val="26"/>
          <w:szCs w:val="26"/>
        </w:rPr>
        <w:t>рритория района составляет 3853 квадратных километра</w:t>
      </w:r>
      <w:r w:rsidR="00502531" w:rsidRPr="00B529AD">
        <w:rPr>
          <w:rFonts w:ascii="Times New Roman" w:hAnsi="Times New Roman" w:cs="Times New Roman"/>
          <w:sz w:val="26"/>
          <w:szCs w:val="26"/>
        </w:rPr>
        <w:t>,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  </w:t>
      </w:r>
      <w:r w:rsidR="00502531" w:rsidRPr="00B529AD">
        <w:rPr>
          <w:rFonts w:ascii="Times New Roman" w:hAnsi="Times New Roman" w:cs="Times New Roman"/>
          <w:sz w:val="26"/>
          <w:szCs w:val="26"/>
        </w:rPr>
        <w:t>г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раничит с территориями Чесменского, </w:t>
      </w:r>
      <w:proofErr w:type="spellStart"/>
      <w:r w:rsidR="00350038" w:rsidRPr="00B529AD">
        <w:rPr>
          <w:rFonts w:ascii="Times New Roman" w:hAnsi="Times New Roman" w:cs="Times New Roman"/>
          <w:sz w:val="26"/>
          <w:szCs w:val="26"/>
        </w:rPr>
        <w:t>Карталинского</w:t>
      </w:r>
      <w:proofErr w:type="spellEnd"/>
      <w:r w:rsidR="00350038" w:rsidRPr="00B529AD">
        <w:rPr>
          <w:rFonts w:ascii="Times New Roman" w:hAnsi="Times New Roman" w:cs="Times New Roman"/>
          <w:sz w:val="26"/>
          <w:szCs w:val="26"/>
        </w:rPr>
        <w:t xml:space="preserve"> районов, имеет</w:t>
      </w:r>
      <w:r w:rsidR="00145861" w:rsidRPr="00B529AD">
        <w:rPr>
          <w:rFonts w:ascii="Times New Roman" w:hAnsi="Times New Roman" w:cs="Times New Roman"/>
          <w:sz w:val="26"/>
          <w:szCs w:val="26"/>
        </w:rPr>
        <w:t xml:space="preserve"> самую протяженную в УРФО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 границу с Государством Казахстан протяженностью 31</w:t>
      </w:r>
      <w:r w:rsidR="00145861" w:rsidRPr="00B529AD">
        <w:rPr>
          <w:rFonts w:ascii="Times New Roman" w:hAnsi="Times New Roman" w:cs="Times New Roman"/>
          <w:sz w:val="26"/>
          <w:szCs w:val="26"/>
        </w:rPr>
        <w:t>3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 километр</w:t>
      </w:r>
      <w:r w:rsidR="00145861" w:rsidRPr="00B529AD">
        <w:rPr>
          <w:rFonts w:ascii="Times New Roman" w:hAnsi="Times New Roman" w:cs="Times New Roman"/>
          <w:sz w:val="26"/>
          <w:szCs w:val="26"/>
        </w:rPr>
        <w:t>ов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. </w:t>
      </w:r>
      <w:r w:rsidR="00502531" w:rsidRPr="00B529AD">
        <w:rPr>
          <w:rFonts w:ascii="Times New Roman" w:hAnsi="Times New Roman" w:cs="Times New Roman"/>
          <w:sz w:val="26"/>
          <w:szCs w:val="26"/>
        </w:rPr>
        <w:t xml:space="preserve"> Расстояние до областного центра 2</w:t>
      </w:r>
      <w:r w:rsidR="00693BA2" w:rsidRPr="00B529AD">
        <w:rPr>
          <w:rFonts w:ascii="Times New Roman" w:hAnsi="Times New Roman" w:cs="Times New Roman"/>
          <w:sz w:val="26"/>
          <w:szCs w:val="26"/>
        </w:rPr>
        <w:t>70</w:t>
      </w:r>
      <w:r w:rsidR="00502531" w:rsidRPr="00B529AD">
        <w:rPr>
          <w:rFonts w:ascii="Times New Roman" w:hAnsi="Times New Roman" w:cs="Times New Roman"/>
          <w:sz w:val="26"/>
          <w:szCs w:val="26"/>
        </w:rPr>
        <w:t xml:space="preserve"> километров. </w:t>
      </w:r>
      <w:proofErr w:type="spellStart"/>
      <w:r w:rsidR="00350038" w:rsidRPr="00B529AD">
        <w:rPr>
          <w:rFonts w:ascii="Times New Roman" w:hAnsi="Times New Roman" w:cs="Times New Roman"/>
          <w:sz w:val="26"/>
          <w:szCs w:val="26"/>
        </w:rPr>
        <w:t>Варненский</w:t>
      </w:r>
      <w:proofErr w:type="spellEnd"/>
      <w:r w:rsidR="00350038" w:rsidRPr="00B529AD">
        <w:rPr>
          <w:rFonts w:ascii="Times New Roman" w:hAnsi="Times New Roman" w:cs="Times New Roman"/>
          <w:sz w:val="26"/>
          <w:szCs w:val="26"/>
        </w:rPr>
        <w:t xml:space="preserve"> муниципальный район объединяет 13 сельских поселений, в составе которых  37 населенных пунктов, соединенных автомобильными дорогами с твердым покрытием,  протяженностью   </w:t>
      </w:r>
      <w:r w:rsidR="00145861" w:rsidRPr="00B529AD">
        <w:rPr>
          <w:rFonts w:ascii="Times New Roman" w:hAnsi="Times New Roman" w:cs="Times New Roman"/>
          <w:sz w:val="26"/>
          <w:szCs w:val="26"/>
        </w:rPr>
        <w:t>465</w:t>
      </w:r>
      <w:r w:rsidR="00350038" w:rsidRPr="00B529AD">
        <w:rPr>
          <w:rFonts w:ascii="Times New Roman" w:hAnsi="Times New Roman" w:cs="Times New Roman"/>
          <w:sz w:val="26"/>
          <w:szCs w:val="26"/>
        </w:rPr>
        <w:t xml:space="preserve"> км. </w:t>
      </w:r>
      <w:r w:rsidRPr="00B529AD">
        <w:rPr>
          <w:rFonts w:ascii="Times New Roman" w:hAnsi="Times New Roman" w:cs="Times New Roman"/>
          <w:sz w:val="26"/>
          <w:szCs w:val="26"/>
        </w:rPr>
        <w:t xml:space="preserve"> Численность населения на 1 января 20</w:t>
      </w:r>
      <w:r w:rsidR="00C537F5" w:rsidRPr="00B529AD">
        <w:rPr>
          <w:rFonts w:ascii="Times New Roman" w:hAnsi="Times New Roman" w:cs="Times New Roman"/>
          <w:sz w:val="26"/>
          <w:szCs w:val="26"/>
        </w:rPr>
        <w:t>2</w:t>
      </w:r>
      <w:r w:rsidR="00501561">
        <w:rPr>
          <w:rFonts w:ascii="Times New Roman" w:hAnsi="Times New Roman" w:cs="Times New Roman"/>
          <w:sz w:val="26"/>
          <w:szCs w:val="26"/>
        </w:rPr>
        <w:t>2</w:t>
      </w:r>
      <w:r w:rsidRPr="00B529AD">
        <w:rPr>
          <w:rFonts w:ascii="Times New Roman" w:hAnsi="Times New Roman" w:cs="Times New Roman"/>
          <w:sz w:val="26"/>
          <w:szCs w:val="26"/>
        </w:rPr>
        <w:t>года составила</w:t>
      </w:r>
      <w:r w:rsidR="00B76E40" w:rsidRPr="00B529AD">
        <w:rPr>
          <w:rFonts w:ascii="Times New Roman" w:hAnsi="Times New Roman" w:cs="Times New Roman"/>
          <w:sz w:val="26"/>
          <w:szCs w:val="26"/>
        </w:rPr>
        <w:t xml:space="preserve"> </w:t>
      </w:r>
      <w:r w:rsidR="004260A2" w:rsidRPr="00B529AD">
        <w:rPr>
          <w:rFonts w:ascii="Times New Roman" w:hAnsi="Times New Roman" w:cs="Times New Roman"/>
          <w:sz w:val="26"/>
          <w:szCs w:val="26"/>
        </w:rPr>
        <w:t>24,</w:t>
      </w:r>
      <w:r w:rsidR="00501561">
        <w:rPr>
          <w:rFonts w:ascii="Times New Roman" w:hAnsi="Times New Roman" w:cs="Times New Roman"/>
          <w:sz w:val="26"/>
          <w:szCs w:val="26"/>
        </w:rPr>
        <w:t>18</w:t>
      </w:r>
      <w:r w:rsidR="00145861" w:rsidRPr="00B529AD">
        <w:rPr>
          <w:rFonts w:ascii="Times New Roman" w:hAnsi="Times New Roman" w:cs="Times New Roman"/>
          <w:sz w:val="26"/>
          <w:szCs w:val="26"/>
        </w:rPr>
        <w:t xml:space="preserve"> </w:t>
      </w:r>
      <w:r w:rsidRPr="00B529AD">
        <w:rPr>
          <w:rFonts w:ascii="Times New Roman" w:hAnsi="Times New Roman" w:cs="Times New Roman"/>
          <w:sz w:val="26"/>
          <w:szCs w:val="26"/>
        </w:rPr>
        <w:t>тыс. человек.</w:t>
      </w:r>
    </w:p>
    <w:p w:rsidR="00D84F7E" w:rsidRPr="00B529AD" w:rsidRDefault="00D84F7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</w:p>
    <w:p w:rsidR="001A7841" w:rsidRPr="00B529AD" w:rsidRDefault="00564AE5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Экономическое</w:t>
      </w:r>
      <w:r w:rsidR="00B83937"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развитие</w:t>
      </w:r>
    </w:p>
    <w:p w:rsidR="001A7841" w:rsidRPr="00B529AD" w:rsidRDefault="001A7841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34300A" w:rsidRPr="00B529AD" w:rsidRDefault="00564AE5" w:rsidP="00B529A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Деятельность органов местного самоуправления  Варненского муниципального района по развитию малого и среднего предпринимательства  осуществляется в рамках Федерального Закона от 24.07.207 № 209- ФЗ « О развитии малого и среднего предпринимательства  в Российской Федерации</w:t>
      </w:r>
      <w:proofErr w:type="gramStart"/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»и</w:t>
      </w:r>
      <w:proofErr w:type="gramEnd"/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Закона Челябинской области от 27.03.2008г. № 250-ЗО «О развитии малого и среднего пр</w:t>
      </w:r>
      <w:r w:rsidR="000053D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едпринимательства на террит</w:t>
      </w:r>
      <w:r w:rsidR="0008404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053D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рии Челябинской области». </w:t>
      </w:r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Развитие малого и среднего предпринимательства  </w:t>
      </w:r>
      <w:proofErr w:type="gramStart"/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является приоритетным направлением муниципально</w:t>
      </w:r>
      <w:r w:rsidR="00075511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политик</w:t>
      </w:r>
      <w:r w:rsidR="00075511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Варненского муниципального района способствует</w:t>
      </w:r>
      <w:proofErr w:type="gramEnd"/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решению не только социальных задач</w:t>
      </w:r>
      <w:r w:rsidR="00152FED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 и служит основой для экономического подъема района. Он вносит значительный вклад в снижении уровня безработиц</w:t>
      </w:r>
      <w:r w:rsidR="00075511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693B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удовлетворения населения в разнообразных товарах и услугах</w:t>
      </w:r>
      <w:r w:rsidR="00145861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, пополнению районного бюджета</w:t>
      </w:r>
      <w:proofErr w:type="gramStart"/>
      <w:r w:rsidR="000053D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End"/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о состоянию на 1 января 20</w:t>
      </w:r>
      <w:r w:rsidR="00AB172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01561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на территории района осуществляют деятельность </w:t>
      </w:r>
      <w:r w:rsidR="00F02C03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501561">
        <w:rPr>
          <w:rFonts w:ascii="Times New Roman" w:hAnsi="Times New Roman" w:cs="Times New Roman"/>
          <w:color w:val="000000" w:themeColor="text1"/>
          <w:sz w:val="26"/>
          <w:szCs w:val="26"/>
        </w:rPr>
        <w:t>33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индивидуальных предпринимателя без</w:t>
      </w:r>
      <w:r w:rsidR="004260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образования юридического лица 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="00501561">
        <w:rPr>
          <w:rFonts w:ascii="Times New Roman" w:hAnsi="Times New Roman" w:cs="Times New Roman"/>
          <w:color w:val="000000" w:themeColor="text1"/>
          <w:sz w:val="26"/>
          <w:szCs w:val="26"/>
        </w:rPr>
        <w:t>78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ма</w:t>
      </w:r>
      <w:r w:rsidR="004260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лых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предприяти</w:t>
      </w:r>
      <w:r w:rsidR="004260A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. В разрезе видов экономической деятельности наибольший удельный вес приходится на розничную и оптовую торговлю и составляет</w:t>
      </w:r>
      <w:r w:rsidR="00317CD4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%, сельское хозяйство - 1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%, транспортировка и хранение 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%, обрабатывающие производства – 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6,5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%, строительство </w:t>
      </w:r>
      <w:r w:rsidR="007D737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17CD4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7D737F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%. Всего на территории района осуществляет свою деятельность 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192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предприятий розничной торговли, 5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предприятия бытового обслуживания и 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предприятий общественного питания. Оборот розничной торговли за </w:t>
      </w:r>
      <w:r w:rsidR="00317CD4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0D17A8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0156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составил 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918,7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млн. рублей (темп роста к прошлому году</w:t>
      </w:r>
      <w:r w:rsidR="008518DD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8518DD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051C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%). </w:t>
      </w:r>
      <w:r w:rsidR="0034300A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Оборот общественного питания 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B5CE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495D2A">
        <w:rPr>
          <w:rFonts w:ascii="Times New Roman" w:hAnsi="Times New Roman" w:cs="Times New Roman"/>
          <w:color w:val="000000" w:themeColor="text1"/>
          <w:sz w:val="26"/>
          <w:szCs w:val="26"/>
        </w:rPr>
        <w:t>56</w:t>
      </w:r>
      <w:r w:rsidR="007B5C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</w:t>
      </w:r>
      <w:r w:rsidR="00245E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5CE6">
        <w:rPr>
          <w:rFonts w:ascii="Times New Roman" w:hAnsi="Times New Roman" w:cs="Times New Roman"/>
          <w:color w:val="000000" w:themeColor="text1"/>
          <w:sz w:val="26"/>
          <w:szCs w:val="26"/>
        </w:rPr>
        <w:t>рублей.</w:t>
      </w:r>
    </w:p>
    <w:p w:rsidR="001A7841" w:rsidRPr="00B529AD" w:rsidRDefault="001A7841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1A7841" w:rsidRPr="00B529AD" w:rsidRDefault="00D5126D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Сельское хозяйство</w:t>
      </w:r>
    </w:p>
    <w:p w:rsidR="00D2292B" w:rsidRDefault="00D2292B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Работа агропромышленного комплекса Варненского муниципального района  проводится  </w:t>
      </w:r>
      <w:proofErr w:type="gramStart"/>
      <w:r w:rsidRPr="008D7E62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Pr="008D7E62">
        <w:rPr>
          <w:rFonts w:ascii="Times New Roman" w:hAnsi="Times New Roman" w:cs="Times New Roman"/>
          <w:sz w:val="26"/>
          <w:szCs w:val="26"/>
        </w:rPr>
        <w:t xml:space="preserve"> муниципальной программы «Развитие сельского хозяйства Варненского муниципального района Челябинской области на 2021-2023годы», утвержденной постановлением Администрации Варненского муниципального </w:t>
      </w:r>
      <w:r w:rsidRPr="008D7E62">
        <w:rPr>
          <w:rFonts w:ascii="Times New Roman" w:hAnsi="Times New Roman" w:cs="Times New Roman"/>
          <w:sz w:val="26"/>
          <w:szCs w:val="26"/>
        </w:rPr>
        <w:lastRenderedPageBreak/>
        <w:t>района Челябинской области от 24.11.2020г. № 618 с внесенными изменениями, утвержденными постановлением Администрации Варненского муниципального района Челябинской области от 29.12.2021г. № 843.                                                                                                                                    Основным направлением развития сельского хозяйства района является развитие растениеводства и животноводства, ориентированное на производство зерна, кормов, мяса и молока.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В 2021 году на территории Варненского муниципального района осуществляли производственную деятельность  92 сельскохозяйственных организации, из них 12 обществ с ограниченной ответственностью и 80 крестьянских (фермерских) хозяйств и индивидуальных предпринимателей, состоящих в Реестре </w:t>
      </w:r>
      <w:proofErr w:type="spellStart"/>
      <w:r w:rsidRPr="008D7E62">
        <w:rPr>
          <w:rFonts w:ascii="Times New Roman" w:hAnsi="Times New Roman" w:cs="Times New Roman"/>
          <w:sz w:val="26"/>
          <w:szCs w:val="26"/>
        </w:rPr>
        <w:t>сельхозтоваропроизводителей</w:t>
      </w:r>
      <w:proofErr w:type="spellEnd"/>
      <w:r w:rsidRPr="008D7E62">
        <w:rPr>
          <w:rFonts w:ascii="Times New Roman" w:hAnsi="Times New Roman" w:cs="Times New Roman"/>
          <w:sz w:val="26"/>
          <w:szCs w:val="26"/>
        </w:rPr>
        <w:t xml:space="preserve"> Минсельхоза Челябинской области.                                                                                                                                  Общая площадь сельскохозяйственных угодий в 2021 году по району составила 339,4 тысяч гектаров, в том числе пашни в обработке – 204,6 тысяч гектаров, где посевная площадь – 137,2 тысяч гектаров.  Посев зерновых культур произведен на площади 96,3 тысяч гектаров.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Намеченных показателей по производству продукции достичь не удалось по причине аномальных погодных условий: на протяжении последних трех лет подряд территория района подвергается действию жесточайшей засухи и суховеев. По решению администрации района в 2021 году вводился режим ЧС и в результате  полностью списаны посевы зерновых и кормовых культур на площади 18 тысяч гектар, сумма ущерба составила 72 миллиона рублей.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В прошедшем году  по решению Губернатора Челябинской области были выделены пострадавшим от засухи хозяйствам субсидии на приобретение недостающих кормов и семян – район получил 23 миллиона рублей.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В 2021 году основной уклон в растениеводстве сделан на выращивание пшеницы твердых и сильных сортов, посев которой составил  73,4 тысячи гектаров, серых хлебов было посеяно – 19 тысяч гектаров, гречихи– 1,1 тысячи гектаров, зернобобовых -0,7 тысяч гектаров,  масличных (подсолнечника и льна) – 27,9 тысяч гектаров, кормовых культур - 13 тысяч гектаров. 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Урожайность зерновых культур составила 4,8 центнеров с гектара.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Произведено зерна (в бункерном весе) 48,7 тысяч тонн. 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По итогам 2021 года план по засыпке семян под урожай 2022 года  с учетом дополнительного государственного финансирования </w:t>
      </w:r>
      <w:proofErr w:type="gramStart"/>
      <w:r w:rsidRPr="008D7E62">
        <w:rPr>
          <w:rFonts w:ascii="Times New Roman" w:hAnsi="Times New Roman" w:cs="Times New Roman"/>
          <w:sz w:val="26"/>
          <w:szCs w:val="26"/>
        </w:rPr>
        <w:t>выполнен на 100 % засыпано</w:t>
      </w:r>
      <w:proofErr w:type="gramEnd"/>
      <w:r w:rsidRPr="008D7E62">
        <w:rPr>
          <w:rFonts w:ascii="Times New Roman" w:hAnsi="Times New Roman" w:cs="Times New Roman"/>
          <w:sz w:val="26"/>
          <w:szCs w:val="26"/>
        </w:rPr>
        <w:t xml:space="preserve"> – 16,7  тысяч тонн.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План вспашки зяби и обработки паров выполнен на 110%.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Хозяйствами всех форм собственности в 2021 году было закуплено и внесено  1700 тонн минеральных удобрений.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Заготовлено грубых и сочных кормов по 16,2 центнеров кормовых единиц на 1 условную голову. Планы заготовки по сену и сенажу выполнены на 73 и 32% соответственно.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Поголовье крупного рогатого скота по району по всем категориям хозяйств, включая ЛПХ,  составило  8 500 голов. Произошло снижение поголовья молочного стада в ООО «Заозерный» на 834 головы, а мясное стадо по району сократилось на 419 голов.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Надой молока в 2021 году на одну фуражную корову по сельхозпредприятиям района составил 4 284 кг. Всего произведено по всем категориям хозяйств - 15 300 </w:t>
      </w:r>
      <w:r w:rsidRPr="008D7E62">
        <w:rPr>
          <w:rFonts w:ascii="Times New Roman" w:hAnsi="Times New Roman" w:cs="Times New Roman"/>
          <w:sz w:val="26"/>
          <w:szCs w:val="26"/>
        </w:rPr>
        <w:lastRenderedPageBreak/>
        <w:t>тонны молока. Произведено скота на убой в живом весе  3 100 тонн. Среднесуточный привес крупного рогатого скота  составил 600 грамм.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В 2021 году для поддержки сельхозпредприятий было получено субсидий из государственного бюджета (федерального и областного) на сумму 89,5 млн. рублей, в том числе: 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- на растениеводство – 37,4 </w:t>
      </w:r>
      <w:proofErr w:type="spellStart"/>
      <w:proofErr w:type="gramStart"/>
      <w:r w:rsidRPr="008D7E62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8D7E62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- на животноводство – 52,1 </w:t>
      </w:r>
      <w:proofErr w:type="spellStart"/>
      <w:proofErr w:type="gramStart"/>
      <w:r w:rsidRPr="008D7E62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8D7E62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>С целью повышения производительности труда и обновления материально- технической базы хозяйствами района в 2021 году было приобретено новой техники на сумму 220 миллионов рублей. Закуплено тракторов всех марок – 11 единиц, зерноуборочных комбайнов -1, посевных комплексов – 10, зерноочистительных и сушильных комплексов – 3 единицы и другой сельхозтехники.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D7E62">
        <w:rPr>
          <w:rFonts w:ascii="Times New Roman" w:hAnsi="Times New Roman" w:cs="Times New Roman"/>
          <w:sz w:val="26"/>
          <w:szCs w:val="26"/>
        </w:rPr>
        <w:t>В 2022 году планируется получить валовой сбор зерна на уровне 150 тысяч тонн, при урожайности 12,5 центнеров с гектара и обеспечить имеющееся поголовье крупного рогатого скота грубыми и сочными кормами в полном объеме; планируется дальнейшее развитие элитного семеноводства, создание условий для сохранения и восстановления плодородия почв, освоение ресурсосберегающих технологий, обеспечивающих максимальную продуктивность каждого гектара пашни.</w:t>
      </w:r>
      <w:proofErr w:type="gramEnd"/>
      <w:r w:rsidRPr="008D7E62">
        <w:rPr>
          <w:rFonts w:ascii="Times New Roman" w:hAnsi="Times New Roman" w:cs="Times New Roman"/>
          <w:sz w:val="26"/>
          <w:szCs w:val="26"/>
        </w:rPr>
        <w:t xml:space="preserve"> Так же продолжится работа по </w:t>
      </w:r>
      <w:proofErr w:type="spellStart"/>
      <w:r w:rsidRPr="008D7E62">
        <w:rPr>
          <w:rFonts w:ascii="Times New Roman" w:hAnsi="Times New Roman" w:cs="Times New Roman"/>
          <w:sz w:val="26"/>
          <w:szCs w:val="26"/>
        </w:rPr>
        <w:t>цифровизации</w:t>
      </w:r>
      <w:proofErr w:type="spellEnd"/>
      <w:r w:rsidRPr="008D7E62">
        <w:rPr>
          <w:rFonts w:ascii="Times New Roman" w:hAnsi="Times New Roman" w:cs="Times New Roman"/>
          <w:sz w:val="26"/>
          <w:szCs w:val="26"/>
        </w:rPr>
        <w:t xml:space="preserve"> земель сельскохозяйственного назначения с целью контроля использования сельскохозяйственных земель (угодий) муниципального района.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В 2022 году нацелены стабилизировать обстановку с маточным поголовьем КРС молочного и мясного скота, сохранить и восстановить  поголовье коров, сократившееся в результате потери кормовой базы в результате вышеупомянутой ЧС в 2021 году. 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Для повышения финансовой устойчивости сельхозпредприятий района необходимо привлечь инвестиции в сельскохозяйственное производство и обеспечить участие  во всех видах  государственной поддержки. </w:t>
      </w:r>
      <w:proofErr w:type="spellStart"/>
      <w:r w:rsidRPr="008D7E62">
        <w:rPr>
          <w:rFonts w:ascii="Times New Roman" w:hAnsi="Times New Roman" w:cs="Times New Roman"/>
          <w:sz w:val="26"/>
          <w:szCs w:val="26"/>
        </w:rPr>
        <w:t>Сельхозтоваропроизводители</w:t>
      </w:r>
      <w:proofErr w:type="spellEnd"/>
      <w:r w:rsidRPr="008D7E62">
        <w:rPr>
          <w:rFonts w:ascii="Times New Roman" w:hAnsi="Times New Roman" w:cs="Times New Roman"/>
          <w:sz w:val="26"/>
          <w:szCs w:val="26"/>
        </w:rPr>
        <w:t xml:space="preserve"> планово переводятся на работу в государственной интегрированной информационной системе (ГИИС) «Электронный бюджет» с использованием электронных цифровых подписей.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Среднегодовая численность работающих в сельхозпредприятиях района за 2021 год составила 794 человека, среднемесячная заработная плата в сельхозпредприятиях района составляет 21 440 рублей. </w:t>
      </w:r>
    </w:p>
    <w:p w:rsidR="0006048B" w:rsidRPr="008D7E62" w:rsidRDefault="0006048B" w:rsidP="008D7E62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E62">
        <w:rPr>
          <w:rFonts w:ascii="Times New Roman" w:hAnsi="Times New Roman" w:cs="Times New Roman"/>
          <w:sz w:val="26"/>
          <w:szCs w:val="26"/>
        </w:rPr>
        <w:t xml:space="preserve">Выполнение целевых индикаторов и мероприятий в программе за 2021 год позволило сохранить долю отечественной сельскохозяйственной продукции, произведенной в </w:t>
      </w:r>
      <w:proofErr w:type="spellStart"/>
      <w:r w:rsidRPr="008D7E62">
        <w:rPr>
          <w:rFonts w:ascii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hAnsi="Times New Roman" w:cs="Times New Roman"/>
          <w:sz w:val="26"/>
          <w:szCs w:val="26"/>
        </w:rPr>
        <w:t xml:space="preserve"> муниципальном районе, повысить конкурентоспособность сельскохозяйственной продукции и создать условия для развития предпринимательства. </w:t>
      </w:r>
    </w:p>
    <w:p w:rsidR="0087277D" w:rsidRPr="00B529AD" w:rsidRDefault="00D84F7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</w:t>
      </w:r>
      <w:r w:rsidR="006A2F25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1C5DEC" w:rsidRPr="00B529AD" w:rsidRDefault="00BC1965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Промышленность</w:t>
      </w:r>
      <w:r w:rsidR="003A33A9"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      </w:t>
      </w:r>
    </w:p>
    <w:p w:rsidR="0062016F" w:rsidRPr="00B529AD" w:rsidRDefault="006A2F25" w:rsidP="00B529AD">
      <w:pPr>
        <w:pStyle w:val="61"/>
        <w:tabs>
          <w:tab w:val="left" w:pos="432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1C5DEC" w:rsidRPr="00B529AD" w:rsidRDefault="001C5DEC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1 января 20</w:t>
      </w:r>
      <w:r w:rsidR="00351992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06048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г. на территории района осуществляют деятельность 2</w:t>
      </w:r>
      <w:r w:rsidR="004C070D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крупных и средних предприятий (организаций) различных организационных форм собственности и видов экономической деятельности. </w:t>
      </w:r>
    </w:p>
    <w:p w:rsidR="001C5DEC" w:rsidRPr="00B529AD" w:rsidRDefault="001C5DEC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Экономический потенциал и структуру экономики района формируют промышленность и сельское хозяйство. Промышленность района представлена следующими видами экономической деятельности: добыча полезных ископаемых, обрабатывающие производства и производство пищевых продуктов. </w:t>
      </w:r>
    </w:p>
    <w:p w:rsidR="0098656E" w:rsidRPr="00B529AD" w:rsidRDefault="001C5DEC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Крупными и средними промышленными предприятиями района отгружено товаров собственного производства, выполнено работ и услуг собственными силами по «чистым» видам экономической деятельности на сумму </w:t>
      </w:r>
      <w:r w:rsidR="00FC5853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="0098656E" w:rsidRPr="00B529AD">
        <w:rPr>
          <w:rFonts w:ascii="Times New Roman" w:eastAsia="Times New Roman" w:hAnsi="Times New Roman" w:cs="Times New Roman"/>
          <w:sz w:val="26"/>
          <w:szCs w:val="26"/>
        </w:rPr>
        <w:t>сумму</w:t>
      </w:r>
      <w:proofErr w:type="spellEnd"/>
      <w:proofErr w:type="gramEnd"/>
      <w:r w:rsidR="004C070D">
        <w:rPr>
          <w:rFonts w:ascii="Times New Roman" w:eastAsia="Times New Roman" w:hAnsi="Times New Roman" w:cs="Times New Roman"/>
          <w:sz w:val="26"/>
          <w:szCs w:val="26"/>
        </w:rPr>
        <w:t xml:space="preserve"> 61</w:t>
      </w:r>
      <w:r w:rsidR="0098656E" w:rsidRPr="00B529AD">
        <w:rPr>
          <w:rFonts w:ascii="Times New Roman" w:eastAsia="Times New Roman" w:hAnsi="Times New Roman" w:cs="Times New Roman"/>
          <w:sz w:val="26"/>
          <w:szCs w:val="26"/>
        </w:rPr>
        <w:t xml:space="preserve"> млрд. 9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76</w:t>
      </w:r>
      <w:r w:rsidR="0098656E" w:rsidRPr="00B529AD">
        <w:rPr>
          <w:rFonts w:ascii="Times New Roman" w:eastAsia="Times New Roman" w:hAnsi="Times New Roman" w:cs="Times New Roman"/>
          <w:sz w:val="26"/>
          <w:szCs w:val="26"/>
        </w:rPr>
        <w:t xml:space="preserve"> млн. рублей, рост к уровню прошлого года составил 2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4</w:t>
      </w:r>
      <w:r w:rsidR="0098656E" w:rsidRPr="00B529AD">
        <w:rPr>
          <w:rFonts w:ascii="Times New Roman" w:eastAsia="Times New Roman" w:hAnsi="Times New Roman" w:cs="Times New Roman"/>
          <w:sz w:val="26"/>
          <w:szCs w:val="26"/>
        </w:rPr>
        <w:t>,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2</w:t>
      </w:r>
      <w:r w:rsidR="0098656E" w:rsidRPr="00B529AD">
        <w:rPr>
          <w:rFonts w:ascii="Times New Roman" w:eastAsia="Times New Roman" w:hAnsi="Times New Roman" w:cs="Times New Roman"/>
          <w:sz w:val="26"/>
          <w:szCs w:val="26"/>
        </w:rPr>
        <w:t xml:space="preserve"> %.</w:t>
      </w:r>
    </w:p>
    <w:p w:rsidR="001C5DEC" w:rsidRPr="00B529AD" w:rsidRDefault="00FC5853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1C5DEC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территории района осуществляет деятельность крупнейший в Европе Горно-обогатительный Комбинат Русской медной компании - АО «Михеевский ГОК», который является главным </w:t>
      </w:r>
      <w:proofErr w:type="spellStart"/>
      <w:r w:rsidR="001C5DEC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бюджетообразующим</w:t>
      </w:r>
      <w:proofErr w:type="spellEnd"/>
      <w:r w:rsidR="001C5DEC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предприятием района. </w:t>
      </w:r>
    </w:p>
    <w:p w:rsidR="0098656E" w:rsidRPr="00B529AD" w:rsidRDefault="001C5DEC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За 20</w:t>
      </w:r>
      <w:r w:rsidR="0098656E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C070D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  <w:r w:rsidR="0098656E"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рост</w:t>
      </w:r>
      <w:r w:rsidR="004C07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объёма </w:t>
      </w:r>
      <w:r w:rsidR="0098656E"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отгруженных товаров собственного производства, выполненных работ и услуг к уровню прошлого года составил 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27,2</w:t>
      </w:r>
      <w:r w:rsidR="0098656E"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%.</w:t>
      </w:r>
    </w:p>
    <w:p w:rsidR="0098656E" w:rsidRPr="00B529AD" w:rsidRDefault="0098656E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Доля налоговых поступлений в местный бюджет от АО «Михеевский ГОК» и подрядных организаций составила 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59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%</w:t>
      </w:r>
      <w:r w:rsidRPr="00B529AD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>от общей суммы собственных доходов районного бюджета. Численность работающих  по состоянию на 01.01.202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г. составила 1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753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человек, за 202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год было создано 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48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новых рабочих мест</w:t>
      </w:r>
    </w:p>
    <w:p w:rsidR="008E3BE5" w:rsidRPr="00B529AD" w:rsidRDefault="008E3BE5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9AD">
        <w:rPr>
          <w:rFonts w:ascii="Times New Roman" w:eastAsia="Times New Roman" w:hAnsi="Times New Roman" w:cs="Times New Roman"/>
          <w:sz w:val="26"/>
          <w:szCs w:val="26"/>
        </w:rPr>
        <w:t>Обособленное подразделение "</w:t>
      </w:r>
      <w:proofErr w:type="spellStart"/>
      <w:r w:rsidRPr="00B529AD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комбинат хлебопродуктов" -  так же является </w:t>
      </w:r>
      <w:proofErr w:type="spellStart"/>
      <w:r w:rsidRPr="00B529AD">
        <w:rPr>
          <w:rFonts w:ascii="Times New Roman" w:eastAsia="Times New Roman" w:hAnsi="Times New Roman" w:cs="Times New Roman"/>
          <w:sz w:val="26"/>
          <w:szCs w:val="26"/>
        </w:rPr>
        <w:t>бюджетообразующим</w:t>
      </w:r>
      <w:proofErr w:type="spellEnd"/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 предприятием района.</w:t>
      </w:r>
    </w:p>
    <w:p w:rsidR="008E3BE5" w:rsidRPr="00B529AD" w:rsidRDefault="008E3BE5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 202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год «</w:t>
      </w:r>
      <w:proofErr w:type="spellStart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Варненским</w:t>
      </w:r>
      <w:proofErr w:type="spellEnd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КХП» отгружено товаров собственного производства, выполнено работ и услуг в действующих ценах на сумму 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млрд</w:t>
      </w:r>
      <w:proofErr w:type="spellEnd"/>
      <w:proofErr w:type="gramEnd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0 </w:t>
      </w:r>
      <w:proofErr w:type="spellStart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млн</w:t>
      </w:r>
      <w:proofErr w:type="spellEnd"/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рублей, рост составил 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2,5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% к уровню прошлого года.</w:t>
      </w:r>
    </w:p>
    <w:p w:rsidR="008E3BE5" w:rsidRPr="00B529AD" w:rsidRDefault="008E3BE5" w:rsidP="00B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9AD">
        <w:rPr>
          <w:rFonts w:ascii="Times New Roman" w:eastAsia="Times New Roman" w:hAnsi="Times New Roman" w:cs="Times New Roman"/>
          <w:sz w:val="26"/>
          <w:szCs w:val="26"/>
        </w:rPr>
        <w:t>Среднемесячная номинальная начисленная заработная плата по крупным и средним предприятиям района за 202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г. по сравнению с соответствующим периодом прошлого года увеличилась на </w:t>
      </w:r>
      <w:r w:rsidR="004C070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8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529AD">
        <w:rPr>
          <w:rFonts w:ascii="Times New Roman" w:eastAsia="Times New Roman" w:hAnsi="Times New Roman" w:cs="Times New Roman"/>
          <w:sz w:val="26"/>
          <w:szCs w:val="26"/>
        </w:rPr>
        <w:t xml:space="preserve">% и составила 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тыс. </w:t>
      </w:r>
      <w:r w:rsidR="004C070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512</w:t>
      </w:r>
      <w:r w:rsidRPr="00B529A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рублей.</w:t>
      </w:r>
    </w:p>
    <w:p w:rsidR="001C5DEC" w:rsidRPr="00880A02" w:rsidRDefault="00FC5853" w:rsidP="00B529A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A02">
        <w:rPr>
          <w:rFonts w:ascii="Times New Roman" w:hAnsi="Times New Roman" w:cs="Times New Roman"/>
          <w:sz w:val="26"/>
          <w:szCs w:val="26"/>
        </w:rPr>
        <w:t>Объем инвестиций в основной капитал за счет всех источников финансирования по крупным и средним организациям района в 20</w:t>
      </w:r>
      <w:r w:rsidR="008519B8" w:rsidRPr="00880A02">
        <w:rPr>
          <w:rFonts w:ascii="Times New Roman" w:hAnsi="Times New Roman" w:cs="Times New Roman"/>
          <w:sz w:val="26"/>
          <w:szCs w:val="26"/>
        </w:rPr>
        <w:t>2</w:t>
      </w:r>
      <w:r w:rsidR="00A3080E" w:rsidRPr="00880A02">
        <w:rPr>
          <w:rFonts w:ascii="Times New Roman" w:hAnsi="Times New Roman" w:cs="Times New Roman"/>
          <w:sz w:val="26"/>
          <w:szCs w:val="26"/>
        </w:rPr>
        <w:t>1</w:t>
      </w:r>
      <w:r w:rsidRPr="00880A02"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A3080E" w:rsidRPr="00880A02">
        <w:rPr>
          <w:rFonts w:ascii="Times New Roman" w:hAnsi="Times New Roman" w:cs="Times New Roman"/>
          <w:sz w:val="26"/>
          <w:szCs w:val="26"/>
        </w:rPr>
        <w:t xml:space="preserve">10 </w:t>
      </w:r>
      <w:r w:rsidRPr="00880A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80A02">
        <w:rPr>
          <w:rFonts w:ascii="Times New Roman" w:hAnsi="Times New Roman" w:cs="Times New Roman"/>
          <w:sz w:val="26"/>
          <w:szCs w:val="26"/>
        </w:rPr>
        <w:t>млрд</w:t>
      </w:r>
      <w:proofErr w:type="spellEnd"/>
      <w:proofErr w:type="gramEnd"/>
      <w:r w:rsidRPr="00880A02">
        <w:rPr>
          <w:rFonts w:ascii="Times New Roman" w:hAnsi="Times New Roman" w:cs="Times New Roman"/>
          <w:sz w:val="26"/>
          <w:szCs w:val="26"/>
        </w:rPr>
        <w:t xml:space="preserve"> </w:t>
      </w:r>
      <w:r w:rsidR="00A3080E" w:rsidRPr="00880A02">
        <w:rPr>
          <w:rFonts w:ascii="Times New Roman" w:hAnsi="Times New Roman" w:cs="Times New Roman"/>
          <w:sz w:val="26"/>
          <w:szCs w:val="26"/>
        </w:rPr>
        <w:t>80</w:t>
      </w:r>
      <w:r w:rsidRPr="00880A02">
        <w:rPr>
          <w:rFonts w:ascii="Times New Roman" w:hAnsi="Times New Roman" w:cs="Times New Roman"/>
          <w:sz w:val="26"/>
          <w:szCs w:val="26"/>
        </w:rPr>
        <w:t xml:space="preserve"> мл</w:t>
      </w:r>
      <w:r w:rsidR="001E1B2E" w:rsidRPr="00880A02">
        <w:rPr>
          <w:rFonts w:ascii="Times New Roman" w:hAnsi="Times New Roman" w:cs="Times New Roman"/>
          <w:sz w:val="26"/>
          <w:szCs w:val="26"/>
        </w:rPr>
        <w:t>н.</w:t>
      </w:r>
      <w:r w:rsidRPr="00880A0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A3080E" w:rsidRPr="00880A02">
        <w:rPr>
          <w:rFonts w:ascii="Times New Roman" w:hAnsi="Times New Roman" w:cs="Times New Roman"/>
          <w:sz w:val="26"/>
          <w:szCs w:val="26"/>
        </w:rPr>
        <w:t>,</w:t>
      </w:r>
      <w:r w:rsidRPr="00880A02">
        <w:rPr>
          <w:rFonts w:ascii="Times New Roman" w:hAnsi="Times New Roman" w:cs="Times New Roman"/>
          <w:sz w:val="26"/>
          <w:szCs w:val="26"/>
        </w:rPr>
        <w:t xml:space="preserve"> </w:t>
      </w:r>
      <w:r w:rsidR="008519B8" w:rsidRPr="00880A02">
        <w:rPr>
          <w:rFonts w:ascii="Times New Roman" w:hAnsi="Times New Roman" w:cs="Times New Roman"/>
          <w:sz w:val="26"/>
          <w:szCs w:val="26"/>
        </w:rPr>
        <w:t xml:space="preserve">рост составил </w:t>
      </w:r>
      <w:r w:rsidR="00A3080E" w:rsidRPr="00880A02">
        <w:rPr>
          <w:rFonts w:ascii="Times New Roman" w:hAnsi="Times New Roman" w:cs="Times New Roman"/>
          <w:sz w:val="26"/>
          <w:szCs w:val="26"/>
        </w:rPr>
        <w:t>20,8</w:t>
      </w:r>
      <w:r w:rsidRPr="00880A02">
        <w:rPr>
          <w:rFonts w:ascii="Times New Roman" w:hAnsi="Times New Roman" w:cs="Times New Roman"/>
          <w:sz w:val="26"/>
          <w:szCs w:val="26"/>
        </w:rPr>
        <w:t xml:space="preserve"> % к уровню 20</w:t>
      </w:r>
      <w:r w:rsidR="00A3080E" w:rsidRPr="00880A02">
        <w:rPr>
          <w:rFonts w:ascii="Times New Roman" w:hAnsi="Times New Roman" w:cs="Times New Roman"/>
          <w:sz w:val="26"/>
          <w:szCs w:val="26"/>
        </w:rPr>
        <w:t>20</w:t>
      </w:r>
      <w:r w:rsidRPr="00880A02">
        <w:rPr>
          <w:rFonts w:ascii="Times New Roman" w:hAnsi="Times New Roman" w:cs="Times New Roman"/>
          <w:sz w:val="26"/>
          <w:szCs w:val="26"/>
        </w:rPr>
        <w:t xml:space="preserve"> года.</w:t>
      </w:r>
      <w:r w:rsidR="001C5DEC" w:rsidRPr="00880A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C1965" w:rsidRPr="00B529AD" w:rsidRDefault="003A33A9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</w:t>
      </w:r>
    </w:p>
    <w:p w:rsidR="00CF578E" w:rsidRDefault="00075511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Дошкольное</w:t>
      </w:r>
      <w:r w:rsidR="00E94158"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, общее и дополнительное </w:t>
      </w: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образование </w:t>
      </w:r>
    </w:p>
    <w:p w:rsidR="00647E83" w:rsidRDefault="00647E83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647E83" w:rsidRPr="00A3080E" w:rsidRDefault="00647E83" w:rsidP="00647E83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A3080E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Система дошкольного образования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На 01.12.2021г. в системе дошкольного образования Варненского района действует 26 детских садов и 3 структурных подразделения при школах, в которых воспитывается 1157 ребенок, или 66% от общей численности детей соответствующего возраста по населению. К началу нового 2021 года контингент воспитанников значительно снизится в связи с тем, что выпускников в детских садах больше, чем набор детей на новый учебный год: 338 выпускников и 241 – новый набор в группы.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Таблица №1. Показатели рождаемости, охват и мощность сети.</w:t>
      </w:r>
    </w:p>
    <w:tbl>
      <w:tblPr>
        <w:tblStyle w:val="10"/>
        <w:tblW w:w="0" w:type="auto"/>
        <w:tblLook w:val="04A0"/>
      </w:tblPr>
      <w:tblGrid>
        <w:gridCol w:w="1438"/>
        <w:gridCol w:w="2693"/>
        <w:gridCol w:w="1393"/>
        <w:gridCol w:w="1901"/>
        <w:gridCol w:w="1596"/>
      </w:tblGrid>
      <w:tr w:rsidR="00647E83" w:rsidRPr="008D7E62" w:rsidTr="00BB0C7E">
        <w:tc>
          <w:tcPr>
            <w:tcW w:w="143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Отчетный год</w:t>
            </w:r>
          </w:p>
        </w:tc>
        <w:tc>
          <w:tcPr>
            <w:tcW w:w="26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Количество детей, родившихся за год</w:t>
            </w:r>
          </w:p>
        </w:tc>
        <w:tc>
          <w:tcPr>
            <w:tcW w:w="13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Охват</w:t>
            </w:r>
          </w:p>
        </w:tc>
        <w:tc>
          <w:tcPr>
            <w:tcW w:w="190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Количество детей в ДОУ</w:t>
            </w:r>
          </w:p>
        </w:tc>
        <w:tc>
          <w:tcPr>
            <w:tcW w:w="1596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Проектная мощность сети ДОУ</w:t>
            </w:r>
          </w:p>
        </w:tc>
      </w:tr>
      <w:tr w:rsidR="00647E83" w:rsidRPr="008D7E62" w:rsidTr="00BB0C7E">
        <w:tc>
          <w:tcPr>
            <w:tcW w:w="143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6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3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68,1</w:t>
            </w:r>
          </w:p>
        </w:tc>
        <w:tc>
          <w:tcPr>
            <w:tcW w:w="190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1602</w:t>
            </w:r>
          </w:p>
        </w:tc>
        <w:tc>
          <w:tcPr>
            <w:tcW w:w="1596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1703</w:t>
            </w:r>
          </w:p>
        </w:tc>
      </w:tr>
      <w:tr w:rsidR="00647E83" w:rsidRPr="008D7E62" w:rsidTr="00BB0C7E">
        <w:tc>
          <w:tcPr>
            <w:tcW w:w="143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26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3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67,9</w:t>
            </w:r>
          </w:p>
        </w:tc>
        <w:tc>
          <w:tcPr>
            <w:tcW w:w="190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1474</w:t>
            </w:r>
          </w:p>
        </w:tc>
        <w:tc>
          <w:tcPr>
            <w:tcW w:w="1596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1617</w:t>
            </w:r>
          </w:p>
        </w:tc>
      </w:tr>
      <w:tr w:rsidR="00647E83" w:rsidRPr="008D7E62" w:rsidTr="00BB0C7E">
        <w:tc>
          <w:tcPr>
            <w:tcW w:w="143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26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393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66,1</w:t>
            </w:r>
          </w:p>
        </w:tc>
        <w:tc>
          <w:tcPr>
            <w:tcW w:w="190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1321</w:t>
            </w:r>
          </w:p>
        </w:tc>
        <w:tc>
          <w:tcPr>
            <w:tcW w:w="1596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1563</w:t>
            </w:r>
          </w:p>
        </w:tc>
      </w:tr>
    </w:tbl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Из таблицы №1 видно, что со снижением рождаемости уменьшается и контингент в дошкольных учреждениях Варненского района.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Для обеспечения территориальной доступности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организован подвоз в 7 детских садов для 31 ребенка.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Поручение Президента России об обеспечении 100% доступности в детских садах для детей от 3-7 лет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выполнено. К этому году обеспечена 100-процентную доступность дошкольного образования детям до 3-х лет.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Сохраняя обеспечение доступности дошкольного образования всем слоям населения, независимо от социального статуса семьи, для отдельных категорий граждан, в нашем районе осуществляется обеспечение компенсационных выплат    по родительской плате.  Количество детей, посещающих ДОУ на льготных условиях в соответствии с Федеральным законодательством, составляет 400 детей.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Количество работающих в системе дошкольного образования по состоянию на 01.01.2021 г. составляет 437 человек (без учёта совместителей). Из общего числа работающих в системе дошкольного образования -  120 педагогов, из них – 87 воспитателей.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Ежегодно в дошкольных образовательных учреждениях района проводится систематическая работа по благоустройству материально-технической базы и предметно-развивающей среды. Во всех детских дошкольных учреждениях своевременно проводятся текущие ремонты. Этому свидетельствует отсутствие неисполненных предписаний надзорных органов.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Система общего образования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системе общего образования функционирует 16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общеобразовательных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учреждения. Из них: 14 – среднего общего образования, 1 – основного общего образования, 1 – начального общего образования.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На 31.12.2021г.   в общеобразовательных организациях района обучается 3117 учащихся (1-4 класс-1387 учащихся; 5-9 класс-1558 учащихся; 10-11 класс-171 учащихся).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По состоянию на 31.12.2021 года в образовательных организациях обучается 35 детей-инвалидов, 282 ребенка с ограниченными возможностями здоровья.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На домашнем обучении находится 6 детей-инвалидов дошкольного возраста, 19 детей-инвалидов от 7 до 18 лет.  Родители данной категории детей получают выплату компенсации за организацию обучения ребенка-инвалида на дому.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Анализ кадрового состава педагогических работников системы общего образования представлен на слайде:</w:t>
      </w:r>
    </w:p>
    <w:tbl>
      <w:tblPr>
        <w:tblStyle w:val="10"/>
        <w:tblW w:w="0" w:type="auto"/>
        <w:tblLook w:val="04A0"/>
      </w:tblPr>
      <w:tblGrid>
        <w:gridCol w:w="3190"/>
        <w:gridCol w:w="3190"/>
        <w:gridCol w:w="3191"/>
      </w:tblGrid>
      <w:tr w:rsidR="00647E83" w:rsidRPr="008D7E62" w:rsidTr="00BB0C7E">
        <w:tc>
          <w:tcPr>
            <w:tcW w:w="319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Руководителей </w:t>
            </w:r>
          </w:p>
        </w:tc>
        <w:tc>
          <w:tcPr>
            <w:tcW w:w="319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Заместителей директоров</w:t>
            </w:r>
          </w:p>
        </w:tc>
        <w:tc>
          <w:tcPr>
            <w:tcW w:w="319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Педагогических работников</w:t>
            </w:r>
          </w:p>
        </w:tc>
      </w:tr>
      <w:tr w:rsidR="00647E83" w:rsidRPr="008D7E62" w:rsidTr="00BB0C7E">
        <w:tc>
          <w:tcPr>
            <w:tcW w:w="319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9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191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</w:tr>
    </w:tbl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Последняя смена руководящего состава общеобразовательных организаций произошла в 2021 году в МОУ СОШ с.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Катенино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, МОУ «СОШ» с. Алексеевки и в МОУ СОШ № 1 с. Варны.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Анализ кадрового состава педагогических и руководящих работников системы общего образования по возрасту также представлен в таблице:</w:t>
      </w:r>
    </w:p>
    <w:tbl>
      <w:tblPr>
        <w:tblStyle w:val="10"/>
        <w:tblW w:w="0" w:type="auto"/>
        <w:tblLook w:val="04A0"/>
      </w:tblPr>
      <w:tblGrid>
        <w:gridCol w:w="1868"/>
        <w:gridCol w:w="1869"/>
        <w:gridCol w:w="1869"/>
        <w:gridCol w:w="1619"/>
        <w:gridCol w:w="2120"/>
      </w:tblGrid>
      <w:tr w:rsidR="00647E83" w:rsidRPr="008D7E62" w:rsidTr="00BB0C7E">
        <w:tc>
          <w:tcPr>
            <w:tcW w:w="186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До 30 лет</w:t>
            </w:r>
          </w:p>
        </w:tc>
        <w:tc>
          <w:tcPr>
            <w:tcW w:w="186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30-45 лет</w:t>
            </w:r>
          </w:p>
        </w:tc>
        <w:tc>
          <w:tcPr>
            <w:tcW w:w="186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45-55 лет</w:t>
            </w:r>
          </w:p>
        </w:tc>
        <w:tc>
          <w:tcPr>
            <w:tcW w:w="161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55-65 лет</w:t>
            </w:r>
          </w:p>
        </w:tc>
        <w:tc>
          <w:tcPr>
            <w:tcW w:w="212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65 и более лет</w:t>
            </w:r>
          </w:p>
        </w:tc>
      </w:tr>
      <w:tr w:rsidR="00647E83" w:rsidRPr="008D7E62" w:rsidTr="00BB0C7E">
        <w:tc>
          <w:tcPr>
            <w:tcW w:w="1868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6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86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619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120" w:type="dxa"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</w:tbl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203 педагогических работника, что составляет 71% от общего количества педагогов школ, по итогам экспертизы результатов профессиональной деятельности соответствуют требованиям, предъявляемым к первой и высшей квалификационным категориям.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Однако имеется потребность в 18 учителях. Это учителя химии, физики, математики, английского языка, начальных классов.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На конец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2021 года сформирована потребность по району и сведения направлены в Министерство образования и науки Челябинской области с целью участия программе «Земский учитель».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Летняя оздоровительная кампания 2021 год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Варненского муниципального района функционировало 17 пришкольных лагерей с дневным пребыванием 745 детей.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Питание было организовано в школьных столовых. Стоимость одного дня пребывания составил 140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рублей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,д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ля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этих целей из местного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бюджето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было потрачено 1 млн. 149 тыс. 400 руб.).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5 учащихся школ района, победители и призеры муниципальных, региональных олимпиад были направлены в детский загородный комплекс «Абзаково», для одарённых и перспективных детей Уральского федерального округа) за счет средств местного бюджета в размере  86 тыс. 185 рублей.</w:t>
      </w:r>
      <w:proofErr w:type="gramEnd"/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20 воспитанников секция пауэрлифтинга и настольного тенниса детской спортивной школы оздоровились в загородном комплексе «Карагайский» (профильная спортивно-оздоровительная смена «Стальные сердца»).  209 тыс. 333,60 рублей было израсходовано из местного бюджета.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 01 июня 2021 по 31 августа 2021 г. была организованна работа по трудоустройству несовершеннолетних детей из малообеспеченных семей и семей, находящихся в трудной жизненной ситуации, состоящих на различных видах учета в возрасте от 14 до 18 лет в количестве 60 человек: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Зарплата за 10 рабочих дней составила 4 тысячи 560 рублей. Деньги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были выделены из  средств местного бюджета было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выделено на сумму 273 тысячи рублей.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Отдельно хочется остановиться на деятельности центра «Точка Роста» школы №1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текущий период в ЦО «Точка роста» перешли на модульно обновленную образовательную программу по предмету «Технология» 5-е классы. В основную программу 5-х классов введены модули: Промышленный дизайн 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Робо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. Кроме этого, в рамках основной программы для учащихся 5-х классов, реализуется курс внеурочной деятельности «Виртуальная реальность».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Преподавание предметной дисциплины «ОБЖ» проходит на обновленном оборудовании Центра позволяет учителю использовать демонстрационное методическое пособие, в котором сымитированы разные по виду повреждения и травмы, осваивать приемы и методы оказания первой медицинской помощи при них.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Произошли изменения основной образовательной программы по предметной дисциплине «Информатика», в части внеурочной деятельности. Так в Центре реализуются четыре курса: «Информатика в играх и задачах» для учащихся 2-х классов; «Основы информатики» для учащихся 5-х классов; «Нескучная информатика» для учащихся 9-х классов; «Математические основы информатики» для учащихся 10-11 классов.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>В учебном 2021-2022 году реализуются следующие дополнительные образовательные программы: «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Легоконструирование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» «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Медиацентр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». «Умные клеточки-Шахматы» и </w:t>
      </w:r>
      <w:proofErr w:type="spellStart"/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др</w:t>
      </w:r>
      <w:proofErr w:type="spellEnd"/>
      <w:proofErr w:type="gramEnd"/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ab/>
        <w:t>Обучающиеся и педагоги Центра за текущий период участвовали в конкурсах и олимпиадах муниципального, регионального и всероссийского уровня и становились победителями и призерами.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Воспитание и дополнительное образование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2021 году образовательные организации Варненского района продолжили реализацию культурно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-м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ассовых мероприятий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очно-заочной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форме. Большая часть мероприятий плана были реализованы в дистанционном формате. Спортивно - массовые мероприятия были отменены в связи с санитарно-эпидемиологическими требованиями.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Система дополнительного образования: кружки, секции, объединения, предоставляют возможность обучающимся заниматься разными видами деятельности по различным направлениям.</w:t>
      </w:r>
      <w:proofErr w:type="gramEnd"/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В «ДЮСШ им.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Ловчикова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Н.В.» Варненского муниципального района занимается 602 человека. С 21 сентября на базе бассейна начали обучение плаванию учащихся 7 классов Варненского района.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общеобразовательных организациях- 2077 детей от 5 до 18 лет обучаются по программам дополнительного образования (67% от общего числа обучающихся 3122 чел.)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На конец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2021 года в 14 детских садах имеется лицензия на дополнительное образование. Всего занято в детских садах дополнительным образованием - 611 человек (от 1164 чел. – 52%).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Финансирование системы образования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Средства областного и местного бюджета обеспечили достижение установленных показателей по заработной плате педагогических работников в 2021 году (результаты представлены в таблице)</w:t>
      </w:r>
    </w:p>
    <w:tbl>
      <w:tblPr>
        <w:tblStyle w:val="10"/>
        <w:tblW w:w="0" w:type="auto"/>
        <w:tblLook w:val="04A0"/>
      </w:tblPr>
      <w:tblGrid>
        <w:gridCol w:w="1869"/>
        <w:gridCol w:w="2010"/>
        <w:gridCol w:w="2010"/>
        <w:gridCol w:w="1869"/>
        <w:gridCol w:w="1869"/>
      </w:tblGrid>
      <w:tr w:rsidR="00647E83" w:rsidRPr="008D7E62" w:rsidTr="00BB0C7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</w:t>
            </w: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proofErr w:type="gram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ыс.руб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Местный </w:t>
            </w: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proofErr w:type="gram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,т</w:t>
            </w:r>
            <w:proofErr w:type="gramEnd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ыс.руб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Процент выполнения индикатива </w:t>
            </w:r>
          </w:p>
        </w:tc>
      </w:tr>
      <w:tr w:rsidR="00647E83" w:rsidRPr="008D7E62" w:rsidTr="00BB0C7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МОУ</w:t>
            </w:r>
            <w:proofErr w:type="gram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spellEnd"/>
            <w:proofErr w:type="gramEnd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</w:t>
            </w: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пед.работники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184 075,2</w:t>
            </w: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143 243,1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56 987,7</w:t>
            </w: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3 358,1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241 062,9</w:t>
            </w: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146 601,2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107,3%</w:t>
            </w:r>
          </w:p>
        </w:tc>
      </w:tr>
      <w:tr w:rsidR="00647E83" w:rsidRPr="008D7E62" w:rsidTr="00BB0C7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МКДОУ</w:t>
            </w:r>
            <w:proofErr w:type="gram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spellEnd"/>
            <w:proofErr w:type="gramEnd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</w:t>
            </w:r>
            <w:proofErr w:type="spellStart"/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пед.работники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77 840,7</w:t>
            </w: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43 668,4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37 990,8</w:t>
            </w: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 115 831,5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 97,5 %</w:t>
            </w:r>
          </w:p>
        </w:tc>
      </w:tr>
      <w:tr w:rsidR="00647E83" w:rsidRPr="008D7E62" w:rsidTr="00BB0C7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ДЮСШ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352,3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 xml:space="preserve">6 590,9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6 943,2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3" w:rsidRPr="008D7E62" w:rsidRDefault="00647E83" w:rsidP="008D7E62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E62">
              <w:rPr>
                <w:rFonts w:ascii="Times New Roman" w:hAnsi="Times New Roman" w:cs="Times New Roman"/>
                <w:sz w:val="26"/>
                <w:szCs w:val="26"/>
              </w:rPr>
              <w:t>101,6%</w:t>
            </w:r>
          </w:p>
        </w:tc>
      </w:tr>
    </w:tbl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детских садах 2021 году составила- 100 рублей.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школе  с 1-4 классы составила -61,68 рублей.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Средняя стоимость питания одного ребенка в школе с 5-11 классы составила -50 рублей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Среднемесячная стоимость содержания одного ребенка в дошкольных образовательных организациях района в 2021 году составила- 13 000 рублей в месяц.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 обеспечение лицензионных требований (на выполнения предписаний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Госпожнадзора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Роспотребнадзора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) по дошкольным образовательным организациям Управлением образования было направлено более – 911,4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2021году были отремонтированы кровли в школах п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.А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лександровка, п. Красный Октябрь, гимназии им. Карла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Орфа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» с.Варна.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связи с чрезвычайной ситуацией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районе на устранение последствий по образовательным организациям с областного бюджета выделено 3 млн. 62 тыс. руб.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Также было выполнена частичная замена окон на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пластиковые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в школах п. Красный Октябрь, п.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Кулевчи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, п. Новопокровка, школе №2 с. Варна.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Ремонт ограждения территории осуществлен в школах с.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, с. Толсты, детских садах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 Владимировка и  п. Правда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Ремонт устройства вентиляции в помещении пищеблока: по всем общеобразовательным организациям 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Ремонт помещений проведен в школе №1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арна, гимназии им. Карла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Орфа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с.Варна, школах п. Красный Октябрь, с.Толсты, с.Новопокровка, с.Алексеевка, п. Правда.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Так же выполнялась замена дверей на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противопожарные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по предписанию надзорных органов.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декабре 2020 году был открыт  в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 по ул.Спартака «Центр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психолого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– педагогической медицинской и социальной помощи»., результаты работы которого представлены на слайдах.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На базе центра круглогодично работает  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психолого-медико-педагогическая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комиссия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2021 году было обследовано этой комиссией 393 ребенка, в том числе дети, направляемые на МСЭ с целью установления или подтверждения инвалидности (первично либо повторно).</w:t>
      </w:r>
    </w:p>
    <w:p w:rsidR="00647E83" w:rsidRPr="008D7E62" w:rsidRDefault="00647E83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4F7E" w:rsidRDefault="001D5D7B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sz w:val="26"/>
          <w:szCs w:val="26"/>
          <w:u w:val="single"/>
        </w:rPr>
        <w:t>Культура</w:t>
      </w:r>
    </w:p>
    <w:p w:rsidR="00A3080E" w:rsidRDefault="00A3080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2021 г. работа осуществлялась в рамках целевой  программы «Развитие сферы культуры Варненского муниципального района на 2020-2022г.». В данной программе отражены все направления работы в сфере культуры.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Всего в районе 58 учреждений культуры – это 30 клубных учреждений, 25 библиотечных, 2 школы искусств, 1 музей. 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7 населенных пунктах нет клубных учреждений, услуги предоставляются выездными концертными бригадами.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Жителей  Варненского  района  обслуживают  25  библиотек,  из  них  1- центральная,  1- детская  и  23  сельских  филиала; из них - 4 модельных, 10 -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Павленковских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Варненское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МБО подключено к ресурсам  НЭБ (Национальная электронная библиотека)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Продолжена работа по составлению и учета записей для СЭК ЧОУНБ (Сводного электронного каталога). В 2021 году в базу данных было занесено 949 новых записей, отредактировано -  502, С начала проекта занесено всего 12320.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районе работают 2 детские школы искусств –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Варненская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Новоуральская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. В 2021- 2022 учебном  году в школах  обучаются 616 детей игре на различных музыкальных инструментах, хореографии, изобразительному искусству.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Художественные коллективы школ искусств и соло-исполнители в 2021 году приняли участие в  38  конкурсах различного уровня. Общее количество участников составляет 215 человек.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клубных учреждениях района в прошедшем году проведено 4 тысячи 565 мероприятий, на которых присутствовали более 413 тысяч  553 зрителей. В Домах культуры  199 клубных формирований, в которых занимаются более 3.5 тысяч участников. Основной вопрос прошлого года – это открытие Мемориала Славы в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арна. 31 июля 2021 года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с. Варна состоялось торжественное открытие Мемориала Славы. 80 лет спустя, в день родного села, у подножья холодных мраморных плит зажгли вечный огонь. На торжественную церемонию открытия мемориала пришли сотни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варненцев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. Целые семьи, сразу по несколько поколений, решили отдать дань памяти великим предкам: прадедам, дедам, отцам. И это неудивительно: что в Варне, что на Южном Урале, что во всей России Великая Отечественная война коснулась каждого.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Художественные коллективы в 2021 году  принимали участие в международных и областных мероприятиях, как в очной, так и в заочной форме. В таких как:  «Играй гармонь», «Родники Золотой Долины», «Соцветие дружное Урала», и др.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Важной задачей является и кадровая политика.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За последние 4 года   повысили квалификацию более 85 работников учреждений культуры, которые обучились новым и дополнительным специальностям.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Учатся в средних и высших учебных заведениях Челябинской области 15 работников.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И в то же время в учреждениях недостаточно специалистов по хореографии, баянистов, по классу духовых инструментов.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2021 году в  рамках Национального проекта «Культура» приобретен автоклуб  на сумму – 4 852,980 тыс.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руб</w:t>
      </w:r>
      <w:proofErr w:type="spellEnd"/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Произведен  капитальный  ремонт здания «Александровский сельский клуб-филиал»  на сумму – 4 157,832 тыс. руб., а так же приобретено оборудование– 1 203,918 тыс. руб.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eastAsia="Times New Roman" w:cs="Times New Roman"/>
          <w:bCs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2021 году капитальный ремонт был проведен и в здании </w:t>
      </w:r>
      <w:r w:rsidRPr="008D7E62">
        <w:rPr>
          <w:rFonts w:eastAsia="Times New Roman" w:cs="Times New Roman"/>
          <w:bCs/>
          <w:sz w:val="26"/>
          <w:szCs w:val="26"/>
        </w:rPr>
        <w:t>МУ ДО</w:t>
      </w:r>
      <w:r w:rsidRPr="008D7E62">
        <w:rPr>
          <w:rFonts w:eastAsia="Times New Roman" w:cs="Times New Roman"/>
          <w:b/>
          <w:bCs/>
          <w:sz w:val="26"/>
          <w:szCs w:val="26"/>
        </w:rPr>
        <w:t xml:space="preserve"> «</w:t>
      </w:r>
      <w:proofErr w:type="spellStart"/>
      <w:r w:rsidRPr="008D7E62">
        <w:rPr>
          <w:rFonts w:eastAsia="Times New Roman" w:cs="Times New Roman"/>
          <w:bCs/>
          <w:sz w:val="26"/>
          <w:szCs w:val="26"/>
        </w:rPr>
        <w:t>Варненская</w:t>
      </w:r>
      <w:proofErr w:type="spellEnd"/>
      <w:r w:rsidRPr="008D7E62">
        <w:rPr>
          <w:rFonts w:eastAsia="Times New Roman" w:cs="Times New Roman"/>
          <w:bCs/>
          <w:sz w:val="26"/>
          <w:szCs w:val="26"/>
        </w:rPr>
        <w:t xml:space="preserve"> детская школа искусств» на сумму- 8 689,607  тыс</w:t>
      </w:r>
      <w:proofErr w:type="gramStart"/>
      <w:r w:rsidRPr="008D7E62">
        <w:rPr>
          <w:rFonts w:eastAsia="Times New Roman" w:cs="Times New Roman"/>
          <w:bCs/>
          <w:sz w:val="26"/>
          <w:szCs w:val="26"/>
        </w:rPr>
        <w:t>.р</w:t>
      </w:r>
      <w:proofErr w:type="gramEnd"/>
      <w:r w:rsidRPr="008D7E62">
        <w:rPr>
          <w:rFonts w:eastAsia="Times New Roman" w:cs="Times New Roman"/>
          <w:bCs/>
          <w:sz w:val="26"/>
          <w:szCs w:val="26"/>
        </w:rPr>
        <w:t>уб.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D7E62">
        <w:rPr>
          <w:rFonts w:eastAsia="Times New Roman" w:cs="Times New Roman"/>
          <w:b/>
          <w:bCs/>
          <w:sz w:val="26"/>
          <w:szCs w:val="26"/>
        </w:rPr>
        <w:t xml:space="preserve"> 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 рамках  подпрограммы «Укрепление материально-технической базы учреждений культуры на 2015-2020 годы» в Бородиновском  ДК приобретено звуковое, световое оборудование. Закуплены и установлены  театральные кресла, одежда сцены,  кресла на сумму  - 1 994,099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   декабре  2021г. состоялось торжественное открытие после капитального ремонта,  двух социально значимых объектов культуры МУ ДО «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Варненская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школа искусств» и 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Александровкого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сельского клуба.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2022 г. в рамках Национального проекта «Культура» запланирован капитальный ремонт здания МУДО «Детская школа искусств» п. Новый Урал  на сумму 13 млн. 972 тыс. 076 руб. и 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МУК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Кулевчинская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ЦКС» на сумму -16 млн. 334 тыс. 016 руб.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И запланирована разработка ПСД на реконструкцию здания  МУК «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краеведческий музей имени Савина В.И.»  на сумму 5 млн. 700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Все заявки на данные учреждения одобрены Правительством Челябинской области.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4F7E" w:rsidRDefault="00334206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Физическая  культура, спорт и молодежная политика</w:t>
      </w:r>
    </w:p>
    <w:p w:rsidR="001E1B2E" w:rsidRDefault="001E1B2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Основным направлением  деятельности  Отдела по  физической  культуре и спорту  в 2021 году  являлось:                                                              - продолжение реализации регионального проекта «Спорт – норма жизни», создание для всех категорий и групп населения условия для занятия физической культурой и спортом, массовым спортом, в том числе повышение  уровня  обеспеченности населения объектами спорта и подготовка спортивного резерва.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ходе реализации регионального проекта «Спорт-норма жизни» на территории Варненского района продолжается строительство «Физкультурно-оздоровительного комплекса»,  расположенного 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с. Варна, пер. Ленинский, д.15а.  Победитель  конкурс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а  ООО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«Владимировская дверная компания».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Цена контракта - 75860875.20 (семьдесят пять  миллионов восемьсот шестьдесят  тысяч  восемьсот семьдесят пять  рублей 20 копеек).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D5314" w:rsidRPr="008D7E62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елевые показатели  реализации  регионального проекта «Спорт-норма жизни»  в 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районе за  2021 год представлены  на слайде.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Цель  регионального проекта: доведение к 2024 году доли граждан Варненского района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систематически занимающихся физической культурой и спортом -  до   55%  процентов.</w:t>
      </w:r>
    </w:p>
    <w:p w:rsidR="001E1B2E" w:rsidRPr="008D7E62" w:rsidRDefault="002D5314" w:rsidP="00A30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</w:t>
      </w:r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2021  году осуществлялась  реализация Всероссийского </w:t>
      </w:r>
      <w:proofErr w:type="spellStart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>физкультурно</w:t>
      </w:r>
      <w:proofErr w:type="spellEnd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- спортивного комплекса «Готов к труду и обороне» (ГТО). В </w:t>
      </w:r>
      <w:proofErr w:type="spellStart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районе функционирует центр тестирования, который укомплектован всем необходимым инвентарём и оборудованием. В 2021  году к выполнению норм ГТО приступили  - 451 человек,  выполнили на знаки отличия  - 430 человек, что составляет 95,3% от числа  приступивших к выполнению норм ГТО.  В результате реализации Комплекса ГТО в </w:t>
      </w:r>
      <w:proofErr w:type="spellStart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районе в автоматизированной системе ГТО зарегистрировалось  - 3100 человек.                                    </w:t>
      </w:r>
      <w:r w:rsidR="00A3080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</w:t>
      </w:r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В</w:t>
      </w:r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течение года в  </w:t>
      </w:r>
      <w:proofErr w:type="spellStart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районе в рамках утверждённого Министерством спорта Российской Федерации и </w:t>
      </w:r>
      <w:proofErr w:type="spellStart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>Роспотребнадзором</w:t>
      </w:r>
      <w:proofErr w:type="spellEnd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 регламента по организации и проведению официальных физкультурных и спортивных  мероприятий  на территории  Российской Федерации, в условиях сохранения рисков распространения COVID-19,  проведено более  70 физкультурно-спортивных мероприятий и соревнований  различного уровня по 20-ти  видам спорта, в которых приняло участие более 7,5  тысяч человек. </w:t>
      </w:r>
      <w:proofErr w:type="gramEnd"/>
    </w:p>
    <w:p w:rsidR="00A3080E" w:rsidRDefault="00A3080E" w:rsidP="00A308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Постепенно увеличивается охват занимающихся лиц с ограниченными возможностями здоровья, который составляет  120 человек или 12,57 % от  общей численности инвалидов, допущенных к занятиям физической культурой и спортом. Успешно проводится  спартакиада среди ветеранов труда и спорта  и  спартакиада по  адаптивным  видам  спорта.  Проведено по  адаптивному  спорту:  10</w:t>
      </w:r>
      <w:bookmarkStart w:id="0" w:name="_GoBack"/>
      <w:bookmarkEnd w:id="0"/>
      <w:r w:rsidR="001E1B2E" w:rsidRPr="008D7E62">
        <w:rPr>
          <w:rFonts w:ascii="Times New Roman" w:eastAsia="Times New Roman" w:hAnsi="Times New Roman" w:cs="Times New Roman"/>
          <w:sz w:val="26"/>
          <w:szCs w:val="26"/>
        </w:rPr>
        <w:t xml:space="preserve">  соревнований - по  7  видам  спорта.  Среди  ветеранов  Варненского  района:    13  соревнований.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A3080E" w:rsidRDefault="00A3080E" w:rsidP="00A308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B2E" w:rsidRPr="008D7E62" w:rsidRDefault="001E1B2E" w:rsidP="00A308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 2021 году спортсмены  Варненского района показали высокие результаты  на официальных  Областных и Всероссийских соревнованиях. В том числе на Чемпионате  России по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дартсу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среди людей с поражением опорно-двигательного  аппарата,  который проходил  в 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 Челябинске  с 13 по 17 ноября 2021 года. В составе сборной  области принимали участие:  Сергей Воробьёв и Георгий Коваль. Они  завоевали сразу четыре бронзовые медали и принесли команде Челябинской области зачётные очки.</w:t>
      </w:r>
    </w:p>
    <w:p w:rsidR="001E1B2E" w:rsidRPr="008D7E62" w:rsidRDefault="001E1B2E" w:rsidP="008D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итоге, сборная команда Челябинской области заняла в Чемпионате России по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дартсу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-2-ое почётное место. </w:t>
      </w:r>
    </w:p>
    <w:p w:rsidR="00A3080E" w:rsidRDefault="00A3080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D81" w:rsidRDefault="007D22BF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45E0E">
        <w:rPr>
          <w:rFonts w:ascii="Times New Roman" w:hAnsi="Times New Roman" w:cs="Times New Roman"/>
          <w:b/>
          <w:sz w:val="26"/>
          <w:szCs w:val="26"/>
        </w:rPr>
        <w:t>Жилищно</w:t>
      </w:r>
      <w:proofErr w:type="spellEnd"/>
      <w:r w:rsidRPr="00245E0E">
        <w:rPr>
          <w:rFonts w:ascii="Times New Roman" w:hAnsi="Times New Roman" w:cs="Times New Roman"/>
          <w:b/>
          <w:sz w:val="26"/>
          <w:szCs w:val="26"/>
        </w:rPr>
        <w:t xml:space="preserve"> – коммунальное хозяйство и строительство.</w:t>
      </w:r>
    </w:p>
    <w:p w:rsidR="00F6366B" w:rsidRDefault="00F6366B" w:rsidP="00F636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2021 год на финансирование строительства и жилищно-коммунального хозяйства в районе было израсходовано 121 миллион 868 тысяч рублей, в том числе 41 миллион рублей направлено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целевых областных и федеральных средств. 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2021 году по программе «Чистая вода» было выделено 50 миллионов 500 тысяч рублей, из них областной бюджет 50 миллионов рублей, местный бюджет 500 тысяч рублей на капитальный ремонт сетей водоснабжения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 Варна. На выделенные денежные средства было отремонтировано - 14,3 км сетей водоснабжения.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2022 году по программе «Модернизация объектов коммунальной инфраструктуры» в с. Варна запланировано 30 миллионов 300 тысяч рублей, из них областной бюджет 30 миллионов рублей, местный бюджет 300 тысяч рублей на капитальный ремонт сетей водоснабжения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 Варна.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На разработку ПСД на ремонт водопровода, выделено 1134729,00 рублей.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истекший год на ремонт улично-дорожной сети в рамках МП «Развитие дорожного хозяйства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районе» направлено 37 миллионов562 тысячи рублей, из средств местного бюджета 1 миллион 878 тысяч рублей, областного бюджета 35 миллионов 684 тысячи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рублей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эти средства отремонтировано 3,6 км дорог в с.Варна: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Ремонт улицы Мира от ул. Кольцевой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пер. Пионерский, с. Варна,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район, Челябинская область;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-Ремонт автомобильных дорог улицы Мир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а-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Юбилейная от ул. Спартака в с. Варна Варненского района Челябинской области;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-Ремонт автомобильной дороги по ул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партака от дома №1 до военкомата в с.Варна;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-Ремонт автомобильной дороги по ул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.З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аречная с примыканием к ул.Магнитогорская в с.Варна;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-Ремонт автомобильной дороги по ул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партака от пер.Пионерского до ул.Кольцевой в с.Варна;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Ремонт автомобильной дороги по ул. Говорухина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пер. Пионерского до ул. Кольцевой в с. Варна.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Также проведены мероприятия по обеспечению безопасности дорожного движения (устройство пешеходных переходов, установка знаков).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соответствии с программой «Содержание, ремонт и капитальный ремонт автомобильных дорог общего пользования Варненского муниципального района» и программой «Безопасность дорожного движения» сельским поселениям было выделено из местного бюджета 28 млн. Были проведены ямочные ремонты, заменены и отремонтированы дорожные знаки, нанесена горизонтальная дорожная разметка, актуализированы проекты организации дорожного движения.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разработку ПСД на капитальный ремонт и ремонт улично-дорожной сети и искусственных сооружений на них, было выделено 2 млн. руб.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Также в 2021 году на строительство моста через р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ижний Тогузак из областного бюджета было выделено 49 миллионов 900 тысяч рублей, с местного – 49тысяч рублей.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2022 году на завершение работ из областного бюджета планируется выделить 31 миллион 900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тысячрублей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, из местного-8 миллионов четыреста тысяч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рублей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рок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завершения работ по муниципальному контракту - сентябрь 2022 года.</w:t>
      </w:r>
    </w:p>
    <w:p w:rsidR="00F6366B" w:rsidRPr="008D7E62" w:rsidRDefault="00F6366B" w:rsidP="00A308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2021 году в рамках программы «Развитие физической культуры и спорта» началось строительство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физкультурно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– оздоровительного комплекса, расположенного по адресу: Челябинская область,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Варненский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район,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 Варна, пер. Ленинский, д.15а. В марте 2021 года был заключен двухгодичный муни</w:t>
      </w:r>
      <w:r w:rsidR="00A3080E">
        <w:rPr>
          <w:rFonts w:ascii="Times New Roman" w:eastAsia="Times New Roman" w:hAnsi="Times New Roman" w:cs="Times New Roman"/>
          <w:sz w:val="26"/>
          <w:szCs w:val="26"/>
        </w:rPr>
        <w:t xml:space="preserve">ципальный контракт. В 2021 </w:t>
      </w:r>
      <w:proofErr w:type="spellStart"/>
      <w:r w:rsidR="00A3080E">
        <w:rPr>
          <w:rFonts w:ascii="Times New Roman" w:eastAsia="Times New Roman" w:hAnsi="Times New Roman" w:cs="Times New Roman"/>
          <w:sz w:val="26"/>
          <w:szCs w:val="26"/>
        </w:rPr>
        <w:t>году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t>из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областного и местного бюджета освоение денежных средств составило5 миллионов 300 тысяч рублей.</w:t>
      </w:r>
    </w:p>
    <w:p w:rsidR="00F6366B" w:rsidRPr="008D7E62" w:rsidRDefault="00F6366B" w:rsidP="00F63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2021 году в рамках приоритетного проекта «Формирование современной комфортной городской среды» было начато благоустройство сквера «Тропа здоровья». На выделенные денежные средства в размере 7 миллионов 157 тысяч рублей в 2021 году были выполнены следующие работы: земляные работы, разбивочные работы, устройство бортовых камней, устройство щебеночных оснований, электроосвещение, приобретение скамеек.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На поддержку муниципальной программы «Формирование современной комфортной городской среды» на 2022 год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Варненскому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району направлена субсидия в размере 9 миллионов 238 тысяч рублей, из них средства местного бюджета в размере 460 тысяч рублей. Денежные средства направлены на благоустройство сквера Островского в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арна, а также на благоустройство площади Красных Партизан в с.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6366B" w:rsidRPr="008D7E62" w:rsidRDefault="00F6366B" w:rsidP="00F63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2021 году на территории Варненского муниципального района в рамках муниципальной программы «Создание и содержание мест (площадок) накопления твердых коммунальных отходов» за счет средств областного и местного бюджетов были выполнены следующие виды работ: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Оборудованы 133 контейнерные площадки на сумму – 3 845 455,00 руб. из них 3 640 530,00 руб. - областной бюджет, 204 925,00 руб. – местный бюджет;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Установлены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435 контейнеров объемом 0,75 м3 на сумму – 4 616 797,11 руб.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2021 году из средств местного бюджета на проведение энергосберегающих мероприятий в бюджетных учреждениях было выделено 5 миллионов 584 тысячи рублей. На данные средства была проведена замена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энергопотребляющего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оборудования на оборудование высоких классов энергетической эффективности.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2022 году запланировано выделение 1 миллион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2020 году была разработана проектно-сметная документация на подводящий газопровод п.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Алтырка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и п. Саламат. На эти цели из средств областного бюджета выделены 2 миллиона 833 тысячи рублей: из - них разработка проектно-сметной документации п. Саламат – 1 миллион 117 тысяч рублей разработка проектно-сметной документации п.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Алтырка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– 1 миллион 716 тысяч рублей. Так же из местного бюджета были выделены средства на прохождение государственной экспертизы 1 миллион 788 тысяч рублей. </w:t>
      </w:r>
    </w:p>
    <w:p w:rsidR="00F6366B" w:rsidRPr="008D7E62" w:rsidRDefault="00F6366B" w:rsidP="00F636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В 2021 году было выделено 2 млн. руб., на корректировку и разработку генеральных планов сельских поселений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–В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арна, Толсты, Лейпциг, Красный Октябрь.</w:t>
      </w:r>
    </w:p>
    <w:p w:rsidR="00094BAC" w:rsidRPr="008D7E62" w:rsidRDefault="00094BAC" w:rsidP="008D7E62">
      <w:pPr>
        <w:pStyle w:val="61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3080E" w:rsidRDefault="00094BAC" w:rsidP="008D7E6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. </w:t>
      </w:r>
    </w:p>
    <w:p w:rsidR="00146B2B" w:rsidRDefault="00C068A7" w:rsidP="008D7E62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sz w:val="26"/>
          <w:szCs w:val="26"/>
          <w:u w:val="single"/>
        </w:rPr>
        <w:lastRenderedPageBreak/>
        <w:t xml:space="preserve"> </w:t>
      </w:r>
      <w:r w:rsidRPr="00B529AD">
        <w:rPr>
          <w:rFonts w:ascii="Times New Roman" w:hAnsi="Times New Roman" w:cs="Times New Roman"/>
          <w:b/>
          <w:sz w:val="26"/>
          <w:szCs w:val="26"/>
          <w:u w:val="single"/>
        </w:rPr>
        <w:t>Мун</w:t>
      </w:r>
      <w:r w:rsidR="00970122" w:rsidRPr="00B529AD">
        <w:rPr>
          <w:rFonts w:ascii="Times New Roman" w:hAnsi="Times New Roman" w:cs="Times New Roman"/>
          <w:b/>
          <w:sz w:val="26"/>
          <w:szCs w:val="26"/>
          <w:u w:val="single"/>
        </w:rPr>
        <w:t>иципальное имущество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действующим законодательством владение, пользование и распоряжение имуществом, находящимся в муниципальной собственности района, относятся к вопросам местного значения муниципального района. 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2021 г. предоставлено в аренду 8 объектов муниципального имущества. За отчетный период от аренды муниципального имущества поступили в бюджет района денежные средства в размере 78 тысяч руб. 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2021 г. продан 1 объект муниципального имущества (автомобиль). За отчетный период от продажи муниципального имущества поступили в бюджет района денежные средства в размере 273 тысячи руб. 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2021 г. предоставлено в аренду 30 земельных участков. За отчетный период поступили в бюджет района денежные средства от аренды земельных участков в размере 7 млн. 607 тысяч рублей. 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За 2021 г. продано 92 земельных участков. В бюджет района от выкупа земельных участков поступили денежные средства в размере 4 млн. 900 тысяч руб. </w:t>
      </w:r>
    </w:p>
    <w:p w:rsidR="00F6366B" w:rsidRPr="008D7E62" w:rsidRDefault="00F6366B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Жалоб от граждан и юридических лиц на оказываемые услуги не поступало.</w:t>
      </w:r>
    </w:p>
    <w:p w:rsidR="00D84F7E" w:rsidRDefault="00545B62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 w:rsidRPr="00B529AD">
        <w:rPr>
          <w:rFonts w:ascii="Times New Roman" w:hAnsi="Times New Roman" w:cs="Times New Roman"/>
          <w:b/>
          <w:sz w:val="26"/>
          <w:szCs w:val="26"/>
          <w:u w:val="single"/>
        </w:rPr>
        <w:t>Здрав</w:t>
      </w:r>
      <w:r w:rsidR="00FA00F9" w:rsidRPr="00B529AD">
        <w:rPr>
          <w:rFonts w:ascii="Times New Roman" w:hAnsi="Times New Roman" w:cs="Times New Roman"/>
          <w:b/>
          <w:sz w:val="26"/>
          <w:szCs w:val="26"/>
          <w:u w:val="single"/>
        </w:rPr>
        <w:t>охранение</w:t>
      </w:r>
      <w:proofErr w:type="spellEnd"/>
      <w:r w:rsidR="00A51314" w:rsidRPr="00B529AD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B0C7E" w:rsidRDefault="00BB0C7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Работа в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 в 2021 году проводилась  в соответствии с выполнением программы государственных гарантий бесплатного оказания населению Челябинской области  медицинской помощи на 2021 год, плановый 2022-2023г, выполнением государственной программы Челябинской области «Развитие здравоохранения Челябинской области»; Федеральным законом Российской Федерации от 21 ноября 2011г №323-ФЗ  «Об основах охраны здоровья граждан в Российской Федерации»; Федеральным законом от 29.11.2010г №326-ФЗ «Об обязательном медицинском страховании в Российской Федерации», ведомственными приказами, нормативными документами Варненского муниципального образования.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Здравоохранение Варненского муниципального района представлен о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:о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дной ЦРБ,10 офисами врачей общей практики, 23 фельдшерско-акушерскими пунктами, один из которых  мобильный, 3 отделениями скорой медицинской помощи, межрайонным Центром здоровья, кабинетом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пренатальной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диагностики.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В структуре 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  имеются отделения: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терапевтическое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хирургическое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детское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акушерско-гинекологическое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инфекционное взрослое и детское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первичное сосудистое отделение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реанимационное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Развернуто127 коек круглосуточного стационара, 11 коек дневного стационара при круглосуточном, 22 койки дневного стационара при поликлинике , 2 места дневного  стационара на дому.</w:t>
      </w:r>
      <w:proofErr w:type="gramEnd"/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Поликлиника  рассчитана  на 700 посещений в смену. В ГБУЗ 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 развернуты вспомогательные службы 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рентгенкабинет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маммографом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, современным флюорографическим и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рентгеноборудованием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>- клиническая лаборатория со всем необходимым оборудованием;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кабинет УЗ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И-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диагностики;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-эндоскопический кабинет;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физиотерапевтический кабинет;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кабинет функциональной диагностики;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смотровой кабинет мужской и женский;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-кабинет медицинской профилактики;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кабинет неотложной медицинской помощи.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Приоритетными направлениями деятельности системы здравоохранения Варненского района в 2021 г являлись: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Обеспечение реализации территориальной программы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гарантий оказания бесплатной медицинской помощи на основе сохранения ее доступности и высокого качества.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Укрепление здоровья и продолжительности жизни населения района.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Проведение профилактической работы среди населения, организация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диспансеризации взрослого населения и несовершеннолетних, ветеранов ВОВ, профилактические осмотры взрослого и детского населения, пропаганда ЗОЖ.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Укрепление кадрового потенциала: привлечение специалистов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программе «Земский доктор», « Земский фельдшер», повышение квалификации.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       Основные демографические показатели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 обслуживает население в количестве 23399 человек, из них: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детей- 5084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взрослое население трудоспособного возраста  - 10927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старше трудоспособного возраста –7388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В 2020 г коэффициент рождаемости – 7,9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в 2020г –7,6).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Увеличился коэффициент смертности с 16,4 в 2020 г  до  17,9 в 2021 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Естественный прирост остается отрицательным  (-212 чел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в 2020 г., (- 232 ) в 2021г.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Показатель материнской смертности в 2021г-0.   Младенческая смертность   -0 в 2020 г.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в 2021 г. -10,6.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Структура общей смертности: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В 2021 г умерло 419человек,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2020г –397).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первом месте остается смертность от болезней системы кровообращения-  641,05(150 чел) в 2021г., в 2020г – 678,8(164чел) на 100 000населения.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2 месте – смертность от прочих причин, показатель смертности  в  2021 г.-354,7(83 чел.)     2020г.- 459,4(111 чел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На 3 мест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е-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смертность от инфекционных заболеваний, показатель в 2021г. -  230,8(54 чел.); в 2020 г. 12,4 ( 3 чел.) на 100 000 населения.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На 4 месте – смертность от злокачественных образований, показатель смертности –216,84 (53 чел.) в 2021г.; 198,7 ( 48 чел.) в 2020г.  на 100 000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населения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.у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авеличился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за счет умерших от новой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инфекции  covid-19. снизился с 16,2 на 100тыс.населения (4 чел) в 2019г. до   12,4 ( 3 чел.)  в 2020г. 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Увеличилось число умерших от болезней органов  пищеварения с 21 в 2020г. до 29 чел. в 2021г. 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Обеспеченность медицинскими кадрами.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В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 работают  41 врачей, 194 средних медицинских работников.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Имеют квалификационную категорию 4 врача, высшую категорию 4.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Средний медперсонал: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Высшая категория –33 человек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Первая категория –12 человека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Прошли курсы повышения квалификации – 2 врача, 8 средних медицинских работников.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Обеспеченность населения врачами на 10тыс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аселения – 17,5 ( в 2020г-  16,9) 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В 2021 г в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арна»  прибыло 2 врача (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педиатр,эндокринолог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Увеличилась  обеспеченность средним медицинским персоналом с 80,7 на 10тыс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аселения в 2020 г. до  82,9 в 2021г.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Амбулаторно-поликлиническая помощь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Амбулаторно-поликлиническая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помощь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оказывается по 17  врачебным специальностям. Число посещений в поликлинику составило 191793 в 2021 г.,  142609  в 2020 г.;  из них посещений к врачам –106938 в 2021г.,  83296 в 2020 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Выполнение государственного задания оказания амбулаторно-поликлинической помощи – 100,33% в 2021г., 59,3 % в 2020г.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Процент профилактических посещений  составил 38% в 2021г.,  39%  в 2020г.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Охвачено профилактическими осмотрами несовершеннолетних  0-14 лет –45,3 %, детей-сирот  и детей, находящихся в трудной жизненной ситуации – 100%.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Продолжилась диспансеризация определенных гру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пп взр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ослого населения 52,2% в 2021 г., 53,4% в 2020г.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Общая заболеваемость по обращаемости на 1000 населения увеличилась с 1152,8 в 2020г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.д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о 1234,6 в 2021 г., у взрослых с 1059,97 в 2020г. до 1160,71 в 2021 г., у детей 0-14 лет уменьшилась с 1429,57 в 2020г. до 1369,12 в 2021г.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У подростков общая заболеваемость  увеличилась с 1495,02 в 2020г. до 2039,57 в 2021г.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Первичная заболеваемость на 1000 населения увеличилась с  534,8 в 2020г. до 592,38 в 2021г.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Уменьшился первичный выход на инвалидность взрослых 18 лет и старше с 101 в 2020г. до 98 в 2021 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. Первичный выход на инвалидность у детей с 0-17 лет уменьшился с 20 в 2020г.  до 16 в 2021г. Количество инвалидов в трудоспособном возрасте  увеличилось с 617 в 2019 г. до 839 в 2020г.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Количество инвалидов 18 лет и старше составило в 2020 г –1835 чел, в 2021 г.-1793 чел. в том числе: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2020г                  2021 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I группа                        176                        166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II группа                       756                       722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IIIгруппа                       903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tab/>
        <w:t>905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Детей-инвалидов в 2020г -106 , в 2021 г – 107.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На диспансерном учете состояло в  2021г.-9369 чел., в  2020г –8128, из них: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взрослых в  2021г-7978 чел., в 2020г –6809;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>подростков – 396 в 2021 г.,  398 в 2020г;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детей- 995 в 2021 г., 921  в 2020г.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Уделялось большое внимание выявлению заболеваний на ранних стадиях, в том числе больных с сахарным диабетом, выявлено злокачественных новообразований на ранних стадиях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I – IIст.)-  51,85%..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Стационарная помощь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В 2021г круглосуточную стационарную помощь получили –3911чел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.(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в 2020г –3557 чел.).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С 2017г  функционирует первичное сосудистое отделение, оказывающее медицинскую помощь пациентам с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Брединского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Карталинского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, Чесменского районов,  пролечено: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- 384 больных с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острым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цереброваскулярными заболеваниями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-302 больных с острым ишемическим инсультом , 50 с геморрагическим инсультом, проведено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8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тромболизисов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-12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тромболизисов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пациентам с острым инфарктом миокарда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Обеспеченность населения койками в круглосуточном стационаре на 10тыс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аселения увеличилась  с 51,7 в 2020 году до 51,95 в 2021г.  Функция койки за год –248,5 (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при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плановой 334). Средняя длительность пребывания на койке –8,1 в 2021г.; 9,2 в 2020 г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.Б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ольничная летальность в 2021 г.-2,66 ( умерло 104 пациента); в 2020г- 3,3 (умерло 118 пациентов), Процент выполнения плана койко-дней круглосуточного стационара – 87,5%,  дневного стационара при круглосуточном -76,4%.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Скорая медицинская помощь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Скорую медицинскую помощь оказывают 4 фельдшерские бригады отделения скорой помощи в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арна, п.Красный Октябрь,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пос.Арчаглы-Аят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, укомплектование в соответствии со стандартами.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За год выполнено 7710 выездов. Выполнение плана скорой  медицинской помощи составило  в 2021г.-101,98%,  в  2020г.- 103,6%  Доля выездов бригад СМП со временем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доезда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до 20 минут с момента вызова составила –92 %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в 2020г – 91,5 %).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В межрайонном Центре здоровья, занимающегося пропагандой здорового образа жизни, обследовано на  выявление факторов риска  547 человек. С целью повышения доступности медицинской помощи сельскому населению и оказанию лечебно-консультативной помощи организованы выездные формы работы с участием всех специалистов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арна». В 2021 г осуществлено 63  выезда врачей  на ФАП, офисы врачей общей практики. Осмотрено 3356 человек.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.   Финансирование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В 2021 г в ГБУЗ «Районная больница 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арна»  поступило средств на сумму –284730,7 т.руб.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Финансирование по источникам составляет: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Средства бюджета 40798,6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Средства ФОМС –225641,1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Средства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внебюджета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18291,1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На дополнительное лекарственное обеспечение по федеральной льготе в 2021г выделено 5318490 руб. Состоят на учете 531 человек, израсходовано- 5318490 руб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.П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о региональной льготе выделено –2460 000руб. Состоят на учете – 904 пациента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,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на медикаменты которым израсходовано –2460 000руб.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На лекарственное обеспечение по  федеральной  кардиологии  выделено 992190  руб. Состоят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 учете 70 пациентов, распределено препаратов  на сумму 992190  руб.; по региональной кардиологии выделено 412305руб., состоят на учете 187 человек, распределено препаратов на сумму 412305руб. 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В 2021г проведена значительная работа по улучшению материально-технической базы ЛПУ: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проведен  капитальный  ремонт  поликлиники  на сумму  1898892,61. руб.,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 ремонт отопления  ЦВОП  п.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Бородиновка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сумму 75484 руб.,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ремонт крылец АПУ на сумму 141821 руб.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 рамках национального проекта « Здравоохранение» для оказания первичной медико-санитарной помощи приобретено оборудование за счет средств областного бюджета: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система анестезиологическая общего назначения на сумму 1432500,0 руб., устройство для проведения  сердечно-легочной реанимации на сумму 1492500,0 руб., спирограф микропроцессорный  портативный  12 шт. на сумму 887778,0 руб.,   система ультразвуковая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диагностическая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на сумму 5693500 руб.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    Задачи на 2022 год.     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Анализируя в целом проводимую работу, качественные показатели здоровья населения за 2021 год и в целях улучшения здравоохранения района  на 2022 год необходимо: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Выполнение программы государственных гарантий бесплатного оказания населению Челябинской области медицинской помощи на 2022  год и плановый 2023 и 2024 годы.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Дальнейшее укрепление материально-технического оснащения структурных подразделений ЛПУ.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Улучшить показатели диспансеризации определенных гру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пп взр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ослого населения и детей 0-17 лет.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выездную форму работы врачей-специалистов на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ФАПы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, офисы врачей общей практики с целью приближения доступности  медицинской  помощи населению.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Продолжить работы по снижению смертности от основных причин.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Усилить профилактическую направленность в деятельности ЛПУ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Усилить борьбу с социально-значимыми заболеваниями, раннему выявлению и лечению онкологических заболеваний, эндокринной патологии, наркомании и алкоголизма, туберкулеза, ВИЧ-инфекции, ИППП.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Дальнейшее развитие и внедрение информационных систем с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задействованием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компьютерных технологий на рабочих местах, ведение единой электронной карты.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Активизировать работу по повышению укомплектованности  медицинского учреждения района квалифицированными кадрами.</w:t>
      </w:r>
    </w:p>
    <w:p w:rsidR="00BB0C7E" w:rsidRPr="008D7E62" w:rsidRDefault="00BB0C7E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Продолжить работу по повышению уровня  профессиональной  подготовки медицинских специалистов, своевременно направляя их на усовершенствование и повышение квалификации.</w:t>
      </w:r>
    </w:p>
    <w:p w:rsidR="00BB0C7E" w:rsidRPr="00B529AD" w:rsidRDefault="00BB0C7E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451F9" w:rsidRPr="00B529AD" w:rsidRDefault="00252E84" w:rsidP="002270BA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sz w:val="26"/>
          <w:szCs w:val="26"/>
        </w:rPr>
        <w:t xml:space="preserve">    </w:t>
      </w:r>
      <w:r w:rsidR="00DE5561" w:rsidRPr="00B529AD">
        <w:rPr>
          <w:rFonts w:ascii="Times New Roman" w:hAnsi="Times New Roman" w:cs="Times New Roman"/>
          <w:sz w:val="26"/>
          <w:szCs w:val="26"/>
        </w:rPr>
        <w:tab/>
      </w:r>
      <w:r w:rsidR="001E2A73" w:rsidRPr="00B529AD">
        <w:rPr>
          <w:rFonts w:ascii="Times New Roman" w:hAnsi="Times New Roman" w:cs="Times New Roman"/>
          <w:b/>
          <w:sz w:val="26"/>
          <w:szCs w:val="26"/>
          <w:u w:val="single"/>
        </w:rPr>
        <w:t>Социальная защита населения</w:t>
      </w:r>
    </w:p>
    <w:p w:rsidR="00DB0849" w:rsidRPr="00B529AD" w:rsidRDefault="00DB0849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Снижение уровня бедности  и повышение реальных доходов малообеспеченных граждан, проживающих на территории нашего района - приоритетные направления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деятельности органов системы социальной защиты населения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2021 году на реализацию социальной политики в 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 было  израсходовано  более 218 миллионов рублей (из которых средства федерального бюджета –29 миллиона рублей, средства областного бюджета – 178 миллиона  рублей, средства местного бюджета – 11,5 миллиона  рублей).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Учитывая рост доходов граждан, проживающих на территории нашего района, ежегодно снижается количество малообеспеченного населения, в 2021 году на учете в органах социальной защиты населения состояло около 8 тысяч граждан льготных категорий, которым в течение прошлого года были предоставлены меры социальной поддержки на общую сумму   297 миллионов 885 тысяч рублей.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течение 2021 года органами социальной защиты населения района активно реализовывались два национальных проекта – национальный проект «Старшее поколение» и национальный проект «Финансовая поддержка семей с детьми». 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По инициативе Правительства Российской Федерации и Правительства нашей области ежегодно расширяется перечень мер социальной поддержки  семей, имеющих детей: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- 2950 семей получили различные меры социальной поддержки гражданам, имеющим детей на общую сумму  свыше 204 миллионов рублей;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- 114 детей были оздоровлены в различных санаторно-курортных учреждениях, в том числе для детей-инвалидов,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- на содержание детей-сирот и детей, оставшихся без попечения родителей,  находящихся в учреждении и замещающих семьях из средств областного бюджета было выделено свыше 45 миллионов рублей.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В прошлом году 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Варненском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Центре помощи детям проживало 17 ребят, заботу о которых в круглосуточном режиме оказывало государство, 111 ребят проживают в приемных и замещающих семьях.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Наряду с мерами социальной поддержки семей с детьми, в нашем районе оказывается комплекс мер социальной поддержки граждан старшего поколения и граждан, находящихся в трудной жизненной ситуации.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В течение 2021 года 3880 граждан льготных категорий получили льготы по различным основаниям на общую сумму 59 миллионов рублей, 834 семьи получили субсидии на оплату за жилищно-коммунальные услуги на общую сумму 13 миллионов 600 тысяч рублей, 344 семьи получили материальную помощь из средств местного бюджета.   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         В рамках реализации национального проекта «Старшее поколение» специалистами Комплексного центра социального обслуживания населения осуществлялась работа посредством предоставления социальных услуг гражданам. В 2021 году  636 гражданам пожилого возраста  были предоставлены социальные услуги на дому, 936 граждан были обеспечены гуманитарной помощью в виде продуктовых наборов от Благотворительного фонда «Металлург» и Благотворительного фонда «Русь». 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 целью увеличения занятости трудоспособного населения нашей области в течени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прошлого года активно реализовывался проект по оказанию социальной помощи гражданам на основе социального контракта. Единовременную материальную помощь на открытие собственного дела, развитие личного подсобного хозяйства и выход из трудной жизненной ситуации получили – 33 семьи, проживающие на территории района, размер выплат составлял от 50 до 250 тысяч рублей, в зависимости от цели заключения контракта.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Сохранение жизни и здоровья детей и пожилых граждан одна из важнейших задач стоящая перед специалистами администрации района и органов социальной защиты 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населения. В 2021 году по поручению Губернатора Челябинской области А.Л.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Текслера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 целью недопущения гибели людей при пожарах  в домохозяйства 130 многодетных малообеспеченных семей были установлены автономные пожарные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извещатели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>. Реализация данного направления деятельности была осуществлена за счет средств местного бюджета.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3183" w:rsidRPr="00B529AD" w:rsidRDefault="0005053F" w:rsidP="008D7E6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sz w:val="26"/>
          <w:szCs w:val="26"/>
        </w:rPr>
        <w:tab/>
      </w:r>
      <w:r w:rsidR="00FA1556" w:rsidRPr="00B529AD">
        <w:rPr>
          <w:rFonts w:ascii="Times New Roman" w:hAnsi="Times New Roman" w:cs="Times New Roman"/>
          <w:b/>
          <w:sz w:val="26"/>
          <w:szCs w:val="26"/>
          <w:u w:val="single"/>
        </w:rPr>
        <w:t>организация муниципального управления</w:t>
      </w:r>
    </w:p>
    <w:p w:rsidR="00A34297" w:rsidRDefault="00A34297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Бюджет Варненского муниципального района на 2021 год разработан в соответствии с требованиями Бюджетного кодекса Российской Федерации, Положения о бюджетном процессе Варненского муниципального района, и нормативно-правовыми актами администрации района.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За основу формирования бюджета были приняты основные показатели социально-экономического развития Варненского муниципального района на соответствующий период.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Анализируя итоги исполнения бюджета Варненского муниципального района за 2021 год, следует отметить, что доходы районного бюджета в прошлом году составили 1 миллиард 462 миллиона 485 тысяч рублей, что на 199 миллионов 537 тысяч рублей или  15,8 % больше чем годом ранее. Рост в основном связан с увеличением объема межбюджетных трансфертов из других уровней бюджетов на 143 миллион 294 тысяч рублей  и увеличением объема собственных доходов на 56 миллион 183 тысяч рублей.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457 миллион 483 тысяч рублей или же 31,2% в общей сумме поступлений составляют собственные доходы, которые увеличились на 14,0 % к уровню 2020 года.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Рост доходной части бюджета связан с увеличением поступлений по субсидиям на 112 миллионов 534 тысячи рублей или в 2,3 раза, по субвенциям на 31 миллионов 273 тысяч рублей или на 6,1%,  к уровню 2020 года.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Поступления выросли и по собственным доходам.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Рост поступлений к уровню 2020 года отмечается в сопоставимых условиях  по налогу на  доходы физических лиц на 16 миллионов 756 тысячу рублей; налогу на добычу полезных ископаемых на 20 миллиона 781 тысяч рублей; акцизам на 2 миллиона 106 тысяч рублей; налогу, и взимаемому в связи с применением упрощенной системы налогообложения   и патентной системе  на 10 миллионов 909 тысяч рублей;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по платным услугам на 872 тысячи рублей; платежам в бюджет от полученной прибыли муниципальными унитарными предприятиями на 589 тысяч рублей.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Снижение в сравнении с 2020 годом произошло по единому налогу на вмененный доход на 2 миллиона 886 тысяч рублей; государственной пошлине  на 2 миллиона 679 тысяч рублей; арендной плате за земельные участки государственная собственность на которые не разграничена  на 1 миллион 896 тысяч рублей; негативному воздействию на окружающую среду  на 3 миллиона 567 тысяч рублей;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штрафам на 764 тысяч рублей.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Исполнение годовых бюджетных назначений по доходам в 2021  году составило 101,5 %, в том числе по собственным доходам 105,9 %.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 областного уровня в 2021 году получено 996 миллионов 785 тысяч рублей. Значительная часть финансовой помощи – 742 миллионов 188 тысяч рублей – имела целевую направленность.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>Самые крупные суммы пришлись на образование 329 миллионов 576 тысяч рублей, социальные выплаты населению 227 миллион 510 тысяч рублей, ремонт и содержание автомобильных дорог 85 миллионов 591 тысяча рублей, ремонт объектов систем водоснабжения и водоотведения 50 миллионов рублей, ремонт детской школы искусств с. Варна 7 миллионов 455 тысяч рублей, формирование  современной городской среды 6 миллионов 958 тысячи рублей, ремонт и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оснащение сельских клубов 6 миллионов 268 тысяч рублей, приобретение автоклуба 4 миллиона 304 тысячи рублей.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Расходы районного бюджета в прошлом году составили 1 миллиард 414 миллионов 187 тысяч рублей и по сравнению с 2020 годом выросли на  12,2 % или на 154 тысяч рублей.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Большая часть из них – расходы социальной направленности. Их доля по итогам года – 70,0 %. Это – образование– 46,5 %, социальная политика – 18,2 %, культура- 4,7 % и спорт -0,6 %.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Значительная часть средств бюджета района – 574 миллиона 180 тысяч рублей – направлена на зарплату работникам бюджетной сферы и органов местного самоуправления. Это на 31 миллионов 939 тысяч рублей или на 5,9 % больше, чем годом ранее, в связи с увеличением оплаты труда по Указу Президента Российской Федерации и увеличением минимального 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размера оплаты труда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Из числа расходов экономического блока наибольшее финансирование получило жилищно-коммунальное хозяйство – 234 миллионов 394 тысяч  рублей: в том числе на благоустройство направлено 13 миллионов 626 тысячи рублей, дорожное хозяйство - 115 миллионов 747 тысяч рублей. Трансферты бюджетам сельских поселений в виде дотаций составили 6,6 % от общего  объема бюджета. В 2021 году сельские поселения получили 93 миллионов 643 тысячи рублей.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Профицит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районного бюджета в 2021 году составил 48 миллиона 298 тысяч рублей. 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По итогам 2021 года принятые обязательства района исполнены в полном объеме без просроченной кредиторской задолженности.</w:t>
      </w:r>
    </w:p>
    <w:p w:rsidR="00D64818" w:rsidRPr="008D7E62" w:rsidRDefault="00D64818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A1556" w:rsidRDefault="001E5B67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529AD">
        <w:rPr>
          <w:rFonts w:ascii="Times New Roman" w:hAnsi="Times New Roman" w:cs="Times New Roman"/>
          <w:b/>
          <w:sz w:val="26"/>
          <w:szCs w:val="26"/>
          <w:u w:val="single"/>
        </w:rPr>
        <w:t>Эн</w:t>
      </w:r>
      <w:r w:rsidR="00FA1556" w:rsidRPr="00B529AD">
        <w:rPr>
          <w:rFonts w:ascii="Times New Roman" w:hAnsi="Times New Roman" w:cs="Times New Roman"/>
          <w:b/>
          <w:sz w:val="26"/>
          <w:szCs w:val="26"/>
          <w:u w:val="single"/>
        </w:rPr>
        <w:t>ергосбережение и повышение энергетической эффективности</w:t>
      </w:r>
    </w:p>
    <w:p w:rsidR="00640002" w:rsidRDefault="00640002" w:rsidP="00B529AD">
      <w:pPr>
        <w:pStyle w:val="61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В рамках исполнения Федерального закона  от 23.11.2009г. № 261-ФЗ «Об энергосбережении и о повышении энергетической  эффективности и о внесение изменений в отдельные законодательные акты Российской Федерации» в районе разработана и утверждена  МП «Повышение энергетической эффективности района и сокращения энергетических издержек в бюджетном секторе», (Постановление администрации Варненского муниципального района от 24.11.2020г. № 616) в результате  на территории Варненского муниципального района наблюдается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снижение потребления топливно-энергетических ресурсов в сопоставимых условиях, как в бюджетных учреждениях района, так и в многоквартирных домах путем проведения технических и технологических мероприятий.                                                                                                              В 2021 году из средств местного бюджета на проведение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энергогосберегающих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мероприятий в бюджетных учреждениях  было выделено 4445,145 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уб., в том числе: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-замена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энергопотребляющего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оборудования на оборудование высоких классов энергетической эффективности (лампы, маломощные насосы и пр.) на сумму 5582,00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Процент оснащенности многоквартирных домов </w:t>
      </w:r>
      <w:proofErr w:type="spellStart"/>
      <w:r w:rsidRPr="008D7E62">
        <w:rPr>
          <w:rFonts w:ascii="Times New Roman" w:eastAsia="Times New Roman" w:hAnsi="Times New Roman" w:cs="Times New Roman"/>
          <w:sz w:val="26"/>
          <w:szCs w:val="26"/>
        </w:rPr>
        <w:t>общедомовыми</w:t>
      </w:r>
      <w:proofErr w:type="spellEnd"/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приборами учета по всем видам энергетических ресурсов в районе составляет 76,34 %, в том числе: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приборы учета электрической энергии – 97%,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приборы учета тепловой энергии </w:t>
      </w:r>
      <w:r w:rsidRPr="008D7E62">
        <w:rPr>
          <w:rFonts w:ascii="Times New Roman" w:eastAsia="Times New Roman" w:hAnsi="Times New Roman" w:cs="Times New Roman"/>
          <w:sz w:val="26"/>
          <w:szCs w:val="26"/>
        </w:rPr>
        <w:sym w:font="Symbol" w:char="F02D"/>
      </w:r>
      <w:r w:rsidRPr="008D7E62">
        <w:rPr>
          <w:rFonts w:ascii="Times New Roman" w:eastAsia="Times New Roman" w:hAnsi="Times New Roman" w:cs="Times New Roman"/>
          <w:sz w:val="26"/>
          <w:szCs w:val="26"/>
        </w:rPr>
        <w:t xml:space="preserve"> 31%,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приборы учета холодной воды – 87,1%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Согласно проведенным мероприятиям по энергосбережению наблюдается снижение объемов потребления топливно-энергетических ресурсов, в сопоставимых условиях, на   20 % от факта потребления в 2019 году.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>На реализацию мероприятий по энергосбережению в 2022 году запланированы средства из местного бюджета в размере – 1010,92 тыс</w:t>
      </w:r>
      <w:proofErr w:type="gramStart"/>
      <w:r w:rsidRPr="008D7E62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8D7E62">
        <w:rPr>
          <w:rFonts w:ascii="Times New Roman" w:eastAsia="Times New Roman" w:hAnsi="Times New Roman" w:cs="Times New Roman"/>
          <w:sz w:val="26"/>
          <w:szCs w:val="26"/>
        </w:rPr>
        <w:t>уб.</w:t>
      </w: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7E62" w:rsidRPr="008D7E62" w:rsidRDefault="008D7E6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0002" w:rsidRPr="008D7E62" w:rsidRDefault="0064000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0002" w:rsidRPr="008D7E62" w:rsidRDefault="0064000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7E62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640002" w:rsidRPr="008D7E62" w:rsidRDefault="00640002" w:rsidP="008D7E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0002" w:rsidRPr="00640002" w:rsidRDefault="00640002" w:rsidP="006400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53C6" w:rsidRPr="00B529AD" w:rsidRDefault="0005357A" w:rsidP="0005357A">
      <w:pPr>
        <w:tabs>
          <w:tab w:val="left" w:pos="64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B53C6" w:rsidRPr="00640002" w:rsidRDefault="006A2F25" w:rsidP="006400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29AD">
        <w:rPr>
          <w:rFonts w:ascii="Times New Roman" w:hAnsi="Times New Roman" w:cs="Times New Roman"/>
          <w:sz w:val="26"/>
          <w:szCs w:val="26"/>
        </w:rPr>
        <w:tab/>
      </w:r>
    </w:p>
    <w:sectPr w:rsidR="004B53C6" w:rsidRPr="00640002" w:rsidSect="000237F5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84" w:rsidRDefault="00363D84" w:rsidP="00D74C29">
      <w:pPr>
        <w:spacing w:after="0" w:line="240" w:lineRule="auto"/>
      </w:pPr>
      <w:r>
        <w:separator/>
      </w:r>
    </w:p>
  </w:endnote>
  <w:endnote w:type="continuationSeparator" w:id="0">
    <w:p w:rsidR="00363D84" w:rsidRDefault="00363D84" w:rsidP="00D7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84" w:rsidRDefault="00363D84" w:rsidP="00D74C29">
      <w:pPr>
        <w:spacing w:after="0" w:line="240" w:lineRule="auto"/>
      </w:pPr>
      <w:r>
        <w:separator/>
      </w:r>
    </w:p>
  </w:footnote>
  <w:footnote w:type="continuationSeparator" w:id="0">
    <w:p w:rsidR="00363D84" w:rsidRDefault="00363D84" w:rsidP="00D7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DC7"/>
    <w:multiLevelType w:val="hybridMultilevel"/>
    <w:tmpl w:val="58AC57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3B2DE8"/>
    <w:multiLevelType w:val="hybridMultilevel"/>
    <w:tmpl w:val="A4166970"/>
    <w:lvl w:ilvl="0" w:tplc="C046B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7E3BE1"/>
    <w:multiLevelType w:val="multilevel"/>
    <w:tmpl w:val="AEF2FCE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">
    <w:nsid w:val="29A67C0C"/>
    <w:multiLevelType w:val="hybridMultilevel"/>
    <w:tmpl w:val="5AC6F7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B7A316F"/>
    <w:multiLevelType w:val="hybridMultilevel"/>
    <w:tmpl w:val="1A54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B05B7"/>
    <w:multiLevelType w:val="hybridMultilevel"/>
    <w:tmpl w:val="C972D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C445A"/>
    <w:multiLevelType w:val="hybridMultilevel"/>
    <w:tmpl w:val="37C27D54"/>
    <w:lvl w:ilvl="0" w:tplc="6AA6FE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BE8188E">
      <w:start w:val="1"/>
      <w:numFmt w:val="decimal"/>
      <w:lvlText w:val="%2)"/>
      <w:legacy w:legacy="1" w:legacySpace="1069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B6A0B"/>
    <w:multiLevelType w:val="hybridMultilevel"/>
    <w:tmpl w:val="1A54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371B9"/>
    <w:multiLevelType w:val="hybridMultilevel"/>
    <w:tmpl w:val="2370D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4163B"/>
    <w:multiLevelType w:val="hybridMultilevel"/>
    <w:tmpl w:val="F0EC3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F03F6"/>
    <w:multiLevelType w:val="multilevel"/>
    <w:tmpl w:val="21AABF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4C867C9E"/>
    <w:multiLevelType w:val="hybridMultilevel"/>
    <w:tmpl w:val="37066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9616D"/>
    <w:multiLevelType w:val="hybridMultilevel"/>
    <w:tmpl w:val="1312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A25514"/>
    <w:multiLevelType w:val="hybridMultilevel"/>
    <w:tmpl w:val="414C6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27935"/>
    <w:multiLevelType w:val="hybridMultilevel"/>
    <w:tmpl w:val="2052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100CE"/>
    <w:multiLevelType w:val="hybridMultilevel"/>
    <w:tmpl w:val="F6723464"/>
    <w:lvl w:ilvl="0" w:tplc="E59C180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7786303D"/>
    <w:multiLevelType w:val="hybridMultilevel"/>
    <w:tmpl w:val="F176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637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A4A6B"/>
    <w:multiLevelType w:val="hybridMultilevel"/>
    <w:tmpl w:val="46D601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2"/>
  </w:num>
  <w:num w:numId="9">
    <w:abstractNumId w:val="4"/>
  </w:num>
  <w:num w:numId="10">
    <w:abstractNumId w:val="7"/>
  </w:num>
  <w:num w:numId="11">
    <w:abstractNumId w:val="1"/>
  </w:num>
  <w:num w:numId="12">
    <w:abstractNumId w:val="15"/>
  </w:num>
  <w:num w:numId="13">
    <w:abstractNumId w:val="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4"/>
  </w:num>
  <w:num w:numId="19">
    <w:abstractNumId w:val="13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0038"/>
    <w:rsid w:val="000053DF"/>
    <w:rsid w:val="00007F66"/>
    <w:rsid w:val="00013B04"/>
    <w:rsid w:val="00014BB2"/>
    <w:rsid w:val="000237F5"/>
    <w:rsid w:val="0002527C"/>
    <w:rsid w:val="00032FB5"/>
    <w:rsid w:val="0004133A"/>
    <w:rsid w:val="00041796"/>
    <w:rsid w:val="00041BA6"/>
    <w:rsid w:val="00045671"/>
    <w:rsid w:val="00045ED9"/>
    <w:rsid w:val="000504D2"/>
    <w:rsid w:val="0005053F"/>
    <w:rsid w:val="0005357A"/>
    <w:rsid w:val="0006048B"/>
    <w:rsid w:val="00060953"/>
    <w:rsid w:val="00072959"/>
    <w:rsid w:val="00074613"/>
    <w:rsid w:val="00075511"/>
    <w:rsid w:val="0008404F"/>
    <w:rsid w:val="00094BAC"/>
    <w:rsid w:val="000A0DB8"/>
    <w:rsid w:val="000B2C96"/>
    <w:rsid w:val="000B73E7"/>
    <w:rsid w:val="000C402E"/>
    <w:rsid w:val="000D0050"/>
    <w:rsid w:val="000D065B"/>
    <w:rsid w:val="000D17A8"/>
    <w:rsid w:val="000D6C25"/>
    <w:rsid w:val="000D7DAB"/>
    <w:rsid w:val="000E17EF"/>
    <w:rsid w:val="00112D85"/>
    <w:rsid w:val="00117E29"/>
    <w:rsid w:val="0014291E"/>
    <w:rsid w:val="00145861"/>
    <w:rsid w:val="00145AA8"/>
    <w:rsid w:val="00146B2B"/>
    <w:rsid w:val="00152FED"/>
    <w:rsid w:val="00163765"/>
    <w:rsid w:val="001674B1"/>
    <w:rsid w:val="00181997"/>
    <w:rsid w:val="00184BA4"/>
    <w:rsid w:val="001A7841"/>
    <w:rsid w:val="001B62DF"/>
    <w:rsid w:val="001C14D1"/>
    <w:rsid w:val="001C5DEC"/>
    <w:rsid w:val="001D32C1"/>
    <w:rsid w:val="001D5D7B"/>
    <w:rsid w:val="001D6CAD"/>
    <w:rsid w:val="001D77E5"/>
    <w:rsid w:val="001E1B2E"/>
    <w:rsid w:val="001E2A73"/>
    <w:rsid w:val="001E3183"/>
    <w:rsid w:val="001E3B8E"/>
    <w:rsid w:val="001E5B67"/>
    <w:rsid w:val="00221775"/>
    <w:rsid w:val="002270BA"/>
    <w:rsid w:val="002451F9"/>
    <w:rsid w:val="00245E0E"/>
    <w:rsid w:val="00252E84"/>
    <w:rsid w:val="00253073"/>
    <w:rsid w:val="002539A7"/>
    <w:rsid w:val="00255DD0"/>
    <w:rsid w:val="00263A4E"/>
    <w:rsid w:val="00272F04"/>
    <w:rsid w:val="002916A7"/>
    <w:rsid w:val="00295432"/>
    <w:rsid w:val="002A16F7"/>
    <w:rsid w:val="002A79FF"/>
    <w:rsid w:val="002D5314"/>
    <w:rsid w:val="002D5DAC"/>
    <w:rsid w:val="002D7DFC"/>
    <w:rsid w:val="002E18D6"/>
    <w:rsid w:val="002E46C2"/>
    <w:rsid w:val="002E5AA7"/>
    <w:rsid w:val="002F4543"/>
    <w:rsid w:val="00301284"/>
    <w:rsid w:val="0031012D"/>
    <w:rsid w:val="00317CD4"/>
    <w:rsid w:val="003308C6"/>
    <w:rsid w:val="00334206"/>
    <w:rsid w:val="0034300A"/>
    <w:rsid w:val="00350038"/>
    <w:rsid w:val="00351992"/>
    <w:rsid w:val="003556CF"/>
    <w:rsid w:val="00360093"/>
    <w:rsid w:val="00361387"/>
    <w:rsid w:val="00361B1E"/>
    <w:rsid w:val="00363D84"/>
    <w:rsid w:val="00367CCC"/>
    <w:rsid w:val="00372243"/>
    <w:rsid w:val="00377C26"/>
    <w:rsid w:val="00392A0D"/>
    <w:rsid w:val="0039681C"/>
    <w:rsid w:val="003A33A9"/>
    <w:rsid w:val="003A5575"/>
    <w:rsid w:val="003A5F7F"/>
    <w:rsid w:val="003A6037"/>
    <w:rsid w:val="003B1732"/>
    <w:rsid w:val="003D130C"/>
    <w:rsid w:val="003D6863"/>
    <w:rsid w:val="003E5957"/>
    <w:rsid w:val="003F5007"/>
    <w:rsid w:val="00402809"/>
    <w:rsid w:val="00420F6C"/>
    <w:rsid w:val="004237B6"/>
    <w:rsid w:val="004260A2"/>
    <w:rsid w:val="00427946"/>
    <w:rsid w:val="004338DD"/>
    <w:rsid w:val="00457A1B"/>
    <w:rsid w:val="00460136"/>
    <w:rsid w:val="0046108E"/>
    <w:rsid w:val="00464F1C"/>
    <w:rsid w:val="004822FB"/>
    <w:rsid w:val="0048515E"/>
    <w:rsid w:val="0048580A"/>
    <w:rsid w:val="004859CC"/>
    <w:rsid w:val="00491746"/>
    <w:rsid w:val="00495D2A"/>
    <w:rsid w:val="004B2DBB"/>
    <w:rsid w:val="004B53C6"/>
    <w:rsid w:val="004C070D"/>
    <w:rsid w:val="004C5CF8"/>
    <w:rsid w:val="00501174"/>
    <w:rsid w:val="00501561"/>
    <w:rsid w:val="00502531"/>
    <w:rsid w:val="00512151"/>
    <w:rsid w:val="00523724"/>
    <w:rsid w:val="005259A6"/>
    <w:rsid w:val="00526147"/>
    <w:rsid w:val="00536549"/>
    <w:rsid w:val="00545B62"/>
    <w:rsid w:val="0054704F"/>
    <w:rsid w:val="00564AE5"/>
    <w:rsid w:val="00565E53"/>
    <w:rsid w:val="005748F9"/>
    <w:rsid w:val="005862B1"/>
    <w:rsid w:val="005A4FF0"/>
    <w:rsid w:val="005B1FC4"/>
    <w:rsid w:val="005B30AD"/>
    <w:rsid w:val="005C11DB"/>
    <w:rsid w:val="005D6B75"/>
    <w:rsid w:val="005E0BA0"/>
    <w:rsid w:val="005F156D"/>
    <w:rsid w:val="005F6688"/>
    <w:rsid w:val="006064B2"/>
    <w:rsid w:val="00614969"/>
    <w:rsid w:val="0062016F"/>
    <w:rsid w:val="006252D0"/>
    <w:rsid w:val="0063449A"/>
    <w:rsid w:val="00634B9A"/>
    <w:rsid w:val="00640002"/>
    <w:rsid w:val="00647C3D"/>
    <w:rsid w:val="00647E83"/>
    <w:rsid w:val="0065374B"/>
    <w:rsid w:val="006650C6"/>
    <w:rsid w:val="0066580D"/>
    <w:rsid w:val="00672970"/>
    <w:rsid w:val="006937AC"/>
    <w:rsid w:val="00693822"/>
    <w:rsid w:val="00693BA2"/>
    <w:rsid w:val="006A2F25"/>
    <w:rsid w:val="006A4AF0"/>
    <w:rsid w:val="006A4DA9"/>
    <w:rsid w:val="006A6D9A"/>
    <w:rsid w:val="006A7111"/>
    <w:rsid w:val="006B6BBA"/>
    <w:rsid w:val="006D554B"/>
    <w:rsid w:val="006E4C31"/>
    <w:rsid w:val="006E6C2E"/>
    <w:rsid w:val="006F4DE2"/>
    <w:rsid w:val="006F5449"/>
    <w:rsid w:val="00704E83"/>
    <w:rsid w:val="00710454"/>
    <w:rsid w:val="007155F0"/>
    <w:rsid w:val="00726705"/>
    <w:rsid w:val="0075010A"/>
    <w:rsid w:val="0076395B"/>
    <w:rsid w:val="007739DD"/>
    <w:rsid w:val="00775CCA"/>
    <w:rsid w:val="0077694D"/>
    <w:rsid w:val="007870B6"/>
    <w:rsid w:val="00790A29"/>
    <w:rsid w:val="00790F9A"/>
    <w:rsid w:val="0079189C"/>
    <w:rsid w:val="0079407E"/>
    <w:rsid w:val="00794DD4"/>
    <w:rsid w:val="007958EB"/>
    <w:rsid w:val="00797600"/>
    <w:rsid w:val="007A0727"/>
    <w:rsid w:val="007A39BC"/>
    <w:rsid w:val="007A469A"/>
    <w:rsid w:val="007A4C1F"/>
    <w:rsid w:val="007B1C36"/>
    <w:rsid w:val="007B243E"/>
    <w:rsid w:val="007B5CE6"/>
    <w:rsid w:val="007C32FE"/>
    <w:rsid w:val="007D0822"/>
    <w:rsid w:val="007D22BF"/>
    <w:rsid w:val="007D737F"/>
    <w:rsid w:val="007F1488"/>
    <w:rsid w:val="007F14F1"/>
    <w:rsid w:val="008073DC"/>
    <w:rsid w:val="00811138"/>
    <w:rsid w:val="008120A1"/>
    <w:rsid w:val="00815FB6"/>
    <w:rsid w:val="00844403"/>
    <w:rsid w:val="00845E68"/>
    <w:rsid w:val="008518DD"/>
    <w:rsid w:val="008519B8"/>
    <w:rsid w:val="0086681C"/>
    <w:rsid w:val="008679B7"/>
    <w:rsid w:val="0087277D"/>
    <w:rsid w:val="00880A02"/>
    <w:rsid w:val="008841A5"/>
    <w:rsid w:val="008A7A6D"/>
    <w:rsid w:val="008D2223"/>
    <w:rsid w:val="008D29D0"/>
    <w:rsid w:val="008D6027"/>
    <w:rsid w:val="008D7E62"/>
    <w:rsid w:val="008E1B33"/>
    <w:rsid w:val="008E3BE5"/>
    <w:rsid w:val="008E4C23"/>
    <w:rsid w:val="008F082C"/>
    <w:rsid w:val="00902D3E"/>
    <w:rsid w:val="0091695A"/>
    <w:rsid w:val="009202F7"/>
    <w:rsid w:val="00925721"/>
    <w:rsid w:val="00926532"/>
    <w:rsid w:val="00945BB4"/>
    <w:rsid w:val="009465D4"/>
    <w:rsid w:val="00951D41"/>
    <w:rsid w:val="0095235A"/>
    <w:rsid w:val="00953097"/>
    <w:rsid w:val="00961308"/>
    <w:rsid w:val="00966C24"/>
    <w:rsid w:val="00970122"/>
    <w:rsid w:val="0097714B"/>
    <w:rsid w:val="0098656E"/>
    <w:rsid w:val="00986FE1"/>
    <w:rsid w:val="00994335"/>
    <w:rsid w:val="009A1FD5"/>
    <w:rsid w:val="009A337C"/>
    <w:rsid w:val="009A3BCF"/>
    <w:rsid w:val="009D18EC"/>
    <w:rsid w:val="009F2D24"/>
    <w:rsid w:val="009F589C"/>
    <w:rsid w:val="00A00244"/>
    <w:rsid w:val="00A06F26"/>
    <w:rsid w:val="00A12EDC"/>
    <w:rsid w:val="00A17DBA"/>
    <w:rsid w:val="00A17DF0"/>
    <w:rsid w:val="00A3080E"/>
    <w:rsid w:val="00A34297"/>
    <w:rsid w:val="00A41779"/>
    <w:rsid w:val="00A46234"/>
    <w:rsid w:val="00A51314"/>
    <w:rsid w:val="00A551FA"/>
    <w:rsid w:val="00A675DA"/>
    <w:rsid w:val="00A75EC8"/>
    <w:rsid w:val="00A90C1E"/>
    <w:rsid w:val="00A91303"/>
    <w:rsid w:val="00A92F6D"/>
    <w:rsid w:val="00AB172F"/>
    <w:rsid w:val="00AB764A"/>
    <w:rsid w:val="00AC4F32"/>
    <w:rsid w:val="00AD27E1"/>
    <w:rsid w:val="00AE7DB4"/>
    <w:rsid w:val="00AF6679"/>
    <w:rsid w:val="00AF74F0"/>
    <w:rsid w:val="00B07DCF"/>
    <w:rsid w:val="00B1343A"/>
    <w:rsid w:val="00B31783"/>
    <w:rsid w:val="00B36213"/>
    <w:rsid w:val="00B508B3"/>
    <w:rsid w:val="00B51F22"/>
    <w:rsid w:val="00B529AD"/>
    <w:rsid w:val="00B66590"/>
    <w:rsid w:val="00B74E15"/>
    <w:rsid w:val="00B76E40"/>
    <w:rsid w:val="00B827B3"/>
    <w:rsid w:val="00B83937"/>
    <w:rsid w:val="00B84B60"/>
    <w:rsid w:val="00B87F35"/>
    <w:rsid w:val="00BA5DFB"/>
    <w:rsid w:val="00BB0C7E"/>
    <w:rsid w:val="00BB2A76"/>
    <w:rsid w:val="00BB506F"/>
    <w:rsid w:val="00BB5A39"/>
    <w:rsid w:val="00BC1965"/>
    <w:rsid w:val="00BC3B47"/>
    <w:rsid w:val="00BC59DE"/>
    <w:rsid w:val="00BE69C7"/>
    <w:rsid w:val="00BF54BA"/>
    <w:rsid w:val="00C02E53"/>
    <w:rsid w:val="00C05C64"/>
    <w:rsid w:val="00C068A7"/>
    <w:rsid w:val="00C23133"/>
    <w:rsid w:val="00C2411C"/>
    <w:rsid w:val="00C52009"/>
    <w:rsid w:val="00C537F5"/>
    <w:rsid w:val="00C54BEE"/>
    <w:rsid w:val="00C61612"/>
    <w:rsid w:val="00C70E10"/>
    <w:rsid w:val="00C725F4"/>
    <w:rsid w:val="00C728A3"/>
    <w:rsid w:val="00C80620"/>
    <w:rsid w:val="00C83876"/>
    <w:rsid w:val="00C914EC"/>
    <w:rsid w:val="00CA4771"/>
    <w:rsid w:val="00CA52DA"/>
    <w:rsid w:val="00CC00B5"/>
    <w:rsid w:val="00CC1A4C"/>
    <w:rsid w:val="00CC237E"/>
    <w:rsid w:val="00CC59D6"/>
    <w:rsid w:val="00CD0BA0"/>
    <w:rsid w:val="00CD729A"/>
    <w:rsid w:val="00CE0B9D"/>
    <w:rsid w:val="00CF0D81"/>
    <w:rsid w:val="00CF1811"/>
    <w:rsid w:val="00CF23BE"/>
    <w:rsid w:val="00CF2AE8"/>
    <w:rsid w:val="00CF377F"/>
    <w:rsid w:val="00CF578E"/>
    <w:rsid w:val="00CF77A0"/>
    <w:rsid w:val="00D10744"/>
    <w:rsid w:val="00D12266"/>
    <w:rsid w:val="00D12E9B"/>
    <w:rsid w:val="00D146F6"/>
    <w:rsid w:val="00D2292B"/>
    <w:rsid w:val="00D23FA6"/>
    <w:rsid w:val="00D26C86"/>
    <w:rsid w:val="00D3664B"/>
    <w:rsid w:val="00D4672D"/>
    <w:rsid w:val="00D5126D"/>
    <w:rsid w:val="00D64818"/>
    <w:rsid w:val="00D713E2"/>
    <w:rsid w:val="00D74C29"/>
    <w:rsid w:val="00D7734A"/>
    <w:rsid w:val="00D84F7E"/>
    <w:rsid w:val="00D91AC5"/>
    <w:rsid w:val="00DA1458"/>
    <w:rsid w:val="00DA390D"/>
    <w:rsid w:val="00DB0849"/>
    <w:rsid w:val="00DC554A"/>
    <w:rsid w:val="00DC710E"/>
    <w:rsid w:val="00DE5561"/>
    <w:rsid w:val="00DF755C"/>
    <w:rsid w:val="00E02C5C"/>
    <w:rsid w:val="00E11EE5"/>
    <w:rsid w:val="00E407D7"/>
    <w:rsid w:val="00E438B5"/>
    <w:rsid w:val="00E4730B"/>
    <w:rsid w:val="00E55CD4"/>
    <w:rsid w:val="00E55FFC"/>
    <w:rsid w:val="00E90386"/>
    <w:rsid w:val="00E94158"/>
    <w:rsid w:val="00EA34E3"/>
    <w:rsid w:val="00EA7437"/>
    <w:rsid w:val="00EB36EF"/>
    <w:rsid w:val="00EB57F2"/>
    <w:rsid w:val="00EC25B5"/>
    <w:rsid w:val="00ED315E"/>
    <w:rsid w:val="00ED6B57"/>
    <w:rsid w:val="00EE5BA9"/>
    <w:rsid w:val="00EF0DD5"/>
    <w:rsid w:val="00F01182"/>
    <w:rsid w:val="00F02A4D"/>
    <w:rsid w:val="00F02C03"/>
    <w:rsid w:val="00F050B5"/>
    <w:rsid w:val="00F051C2"/>
    <w:rsid w:val="00F063B0"/>
    <w:rsid w:val="00F23427"/>
    <w:rsid w:val="00F3617B"/>
    <w:rsid w:val="00F37466"/>
    <w:rsid w:val="00F42516"/>
    <w:rsid w:val="00F451BA"/>
    <w:rsid w:val="00F557C3"/>
    <w:rsid w:val="00F6366B"/>
    <w:rsid w:val="00F646A3"/>
    <w:rsid w:val="00F71ACC"/>
    <w:rsid w:val="00F7561C"/>
    <w:rsid w:val="00F75E00"/>
    <w:rsid w:val="00F84134"/>
    <w:rsid w:val="00F87E21"/>
    <w:rsid w:val="00F9091A"/>
    <w:rsid w:val="00FA00F9"/>
    <w:rsid w:val="00FA1556"/>
    <w:rsid w:val="00FA3734"/>
    <w:rsid w:val="00FA4413"/>
    <w:rsid w:val="00FC5853"/>
    <w:rsid w:val="00FE05EC"/>
    <w:rsid w:val="00FE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37B6"/>
    <w:pPr>
      <w:suppressAutoHyphen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237B6"/>
    <w:rPr>
      <w:rFonts w:ascii="Arial" w:eastAsia="Times New Roman" w:hAnsi="Arial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4237B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Название Знак"/>
    <w:basedOn w:val="a0"/>
    <w:link w:val="a5"/>
    <w:rsid w:val="004237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4237B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Подзаголовок Знак"/>
    <w:basedOn w:val="a0"/>
    <w:link w:val="a6"/>
    <w:rsid w:val="004237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List Paragraph"/>
    <w:basedOn w:val="a"/>
    <w:uiPriority w:val="34"/>
    <w:qFormat/>
    <w:rsid w:val="00EF0D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МОН основной Знак"/>
    <w:basedOn w:val="a0"/>
    <w:link w:val="ab"/>
    <w:locked/>
    <w:rsid w:val="00013B04"/>
    <w:rPr>
      <w:sz w:val="28"/>
      <w:szCs w:val="24"/>
    </w:rPr>
  </w:style>
  <w:style w:type="paragraph" w:customStyle="1" w:styleId="ab">
    <w:name w:val="МОН основной"/>
    <w:basedOn w:val="a"/>
    <w:link w:val="aa"/>
    <w:rsid w:val="00013B04"/>
    <w:pPr>
      <w:spacing w:after="0" w:line="360" w:lineRule="auto"/>
      <w:ind w:firstLine="709"/>
      <w:jc w:val="both"/>
    </w:pPr>
    <w:rPr>
      <w:sz w:val="28"/>
      <w:szCs w:val="24"/>
    </w:rPr>
  </w:style>
  <w:style w:type="paragraph" w:styleId="ac">
    <w:name w:val="Normal (Web)"/>
    <w:basedOn w:val="a"/>
    <w:uiPriority w:val="99"/>
    <w:rsid w:val="0008404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a0"/>
    <w:rsid w:val="0002527C"/>
  </w:style>
  <w:style w:type="character" w:styleId="ad">
    <w:name w:val="Strong"/>
    <w:basedOn w:val="a0"/>
    <w:uiPriority w:val="99"/>
    <w:qFormat/>
    <w:rsid w:val="00CC237E"/>
    <w:rPr>
      <w:b/>
      <w:bCs/>
    </w:rPr>
  </w:style>
  <w:style w:type="paragraph" w:customStyle="1" w:styleId="ConsPlusNormal">
    <w:name w:val="ConsPlusNormal"/>
    <w:rsid w:val="00D51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1">
    <w:name w:val="Без интервала1"/>
    <w:rsid w:val="003A5F7F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No Spacing"/>
    <w:uiPriority w:val="1"/>
    <w:qFormat/>
    <w:rsid w:val="003A5F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6">
    <w:name w:val="Основной текст (6)"/>
    <w:basedOn w:val="a0"/>
    <w:link w:val="61"/>
    <w:uiPriority w:val="99"/>
    <w:rsid w:val="00CD0BA0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CD0BA0"/>
    <w:pPr>
      <w:shd w:val="clear" w:color="auto" w:fill="FFFFFF"/>
      <w:spacing w:after="0" w:line="322" w:lineRule="exact"/>
    </w:pPr>
    <w:rPr>
      <w:sz w:val="28"/>
      <w:szCs w:val="28"/>
    </w:rPr>
  </w:style>
  <w:style w:type="character" w:customStyle="1" w:styleId="610">
    <w:name w:val="Основной текст (6) + Полужирный1"/>
    <w:basedOn w:val="6"/>
    <w:uiPriority w:val="99"/>
    <w:rsid w:val="00CD0BA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styleId="2">
    <w:name w:val="Body Text 2"/>
    <w:basedOn w:val="a"/>
    <w:link w:val="20"/>
    <w:unhideWhenUsed/>
    <w:rsid w:val="00CD0B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D0BA0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7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4C29"/>
  </w:style>
  <w:style w:type="paragraph" w:styleId="af1">
    <w:name w:val="footer"/>
    <w:basedOn w:val="a"/>
    <w:link w:val="af2"/>
    <w:uiPriority w:val="99"/>
    <w:unhideWhenUsed/>
    <w:rsid w:val="00D7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4C29"/>
  </w:style>
  <w:style w:type="paragraph" w:styleId="3">
    <w:name w:val="Body Text Indent 3"/>
    <w:basedOn w:val="a"/>
    <w:link w:val="30"/>
    <w:uiPriority w:val="99"/>
    <w:semiHidden/>
    <w:unhideWhenUsed/>
    <w:rsid w:val="00F75E0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75E00"/>
    <w:rPr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F75E00"/>
    <w:rPr>
      <w:color w:val="0000FF" w:themeColor="hyperlink"/>
      <w:u w:val="single"/>
    </w:rPr>
  </w:style>
  <w:style w:type="paragraph" w:customStyle="1" w:styleId="Default">
    <w:name w:val="Default"/>
    <w:rsid w:val="00F75E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4">
    <w:name w:val="Table Grid"/>
    <w:basedOn w:val="a1"/>
    <w:uiPriority w:val="59"/>
    <w:rsid w:val="00F75E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0">
    <w:name w:val="p10"/>
    <w:basedOn w:val="a"/>
    <w:rsid w:val="005B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5B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F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F4543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EA34E3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A34E3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A34E3"/>
    <w:rPr>
      <w:vertAlign w:val="superscript"/>
    </w:rPr>
  </w:style>
  <w:style w:type="table" w:customStyle="1" w:styleId="10">
    <w:name w:val="Сетка таблицы1"/>
    <w:basedOn w:val="a1"/>
    <w:next w:val="af4"/>
    <w:uiPriority w:val="59"/>
    <w:rsid w:val="00647E8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85ED-E4BF-4B25-80B9-84673120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</TotalTime>
  <Pages>1</Pages>
  <Words>8506</Words>
  <Characters>48486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Windows'XP User</dc:creator>
  <cp:keywords/>
  <dc:description/>
  <cp:lastModifiedBy>Komekshef</cp:lastModifiedBy>
  <cp:revision>284</cp:revision>
  <cp:lastPrinted>2020-04-29T11:38:00Z</cp:lastPrinted>
  <dcterms:created xsi:type="dcterms:W3CDTF">2013-04-24T04:10:00Z</dcterms:created>
  <dcterms:modified xsi:type="dcterms:W3CDTF">2022-05-05T06:56:00Z</dcterms:modified>
</cp:coreProperties>
</file>